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30" w:rsidRPr="00CD0DA1" w:rsidRDefault="00CF5730" w:rsidP="00CF5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«УТВЕРЖДАЮ»</w:t>
      </w:r>
    </w:p>
    <w:p w:rsidR="00CF5730" w:rsidRPr="00CD0DA1" w:rsidRDefault="00CF5730" w:rsidP="00CF5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Желанновского сельского поселения</w:t>
      </w:r>
    </w:p>
    <w:p w:rsidR="00CF5730" w:rsidRPr="00CD0DA1" w:rsidRDefault="00CF5730" w:rsidP="00CF5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F5730" w:rsidRPr="00CD0DA1" w:rsidRDefault="00CF5730" w:rsidP="00CF5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____________ </w:t>
      </w:r>
      <w:proofErr w:type="spellStart"/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Д.А.Онищук</w:t>
      </w:r>
      <w:proofErr w:type="spellEnd"/>
    </w:p>
    <w:p w:rsidR="00CF5730" w:rsidRPr="00CD0DA1" w:rsidRDefault="00CF5730" w:rsidP="00CF5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F5730" w:rsidRDefault="00CF5730" w:rsidP="00CF5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</w:t>
      </w: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8B0E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15</w:t>
      </w: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="008E3C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августа</w:t>
      </w: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6A6B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</w:t>
      </w:r>
    </w:p>
    <w:p w:rsidR="00CF5730" w:rsidRPr="00F72B63" w:rsidRDefault="00CF5730" w:rsidP="00CF5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Заключение</w:t>
      </w:r>
      <w:r w:rsidRPr="00F72B63">
        <w:rPr>
          <w:rFonts w:ascii="Times New Roman" w:hAnsi="Times New Roman" w:cs="Times New Roman"/>
          <w:b/>
          <w:sz w:val="28"/>
          <w:szCs w:val="28"/>
        </w:rPr>
        <w:t xml:space="preserve"> о результатах</w:t>
      </w:r>
    </w:p>
    <w:p w:rsidR="00CF5730" w:rsidRPr="00F72B63" w:rsidRDefault="00CF5730" w:rsidP="00CF5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B63">
        <w:rPr>
          <w:rFonts w:ascii="Times New Roman" w:hAnsi="Times New Roman" w:cs="Times New Roman"/>
          <w:b/>
          <w:sz w:val="28"/>
          <w:szCs w:val="28"/>
        </w:rPr>
        <w:t xml:space="preserve">оценки эффективности налоговых расходов </w:t>
      </w:r>
      <w:r>
        <w:rPr>
          <w:rFonts w:ascii="Times New Roman" w:hAnsi="Times New Roman" w:cs="Times New Roman"/>
          <w:b/>
          <w:sz w:val="28"/>
          <w:szCs w:val="28"/>
        </w:rPr>
        <w:t>Желанновского сельского поселения Одесского муниципального района Омской области</w:t>
      </w:r>
      <w:r w:rsidRPr="00F72B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5730" w:rsidRPr="00F72B63" w:rsidRDefault="00CF5730" w:rsidP="00CF5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B63">
        <w:rPr>
          <w:rFonts w:ascii="Times New Roman" w:hAnsi="Times New Roman" w:cs="Times New Roman"/>
          <w:b/>
          <w:sz w:val="28"/>
          <w:szCs w:val="28"/>
        </w:rPr>
        <w:t>за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B0E2D">
        <w:rPr>
          <w:rFonts w:ascii="Times New Roman" w:hAnsi="Times New Roman" w:cs="Times New Roman"/>
          <w:b/>
          <w:sz w:val="28"/>
          <w:szCs w:val="28"/>
        </w:rPr>
        <w:t>3</w:t>
      </w:r>
      <w:r w:rsidRPr="00F72B6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F5730" w:rsidRDefault="00CF5730" w:rsidP="00CF5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за 202</w:t>
      </w:r>
      <w:r w:rsidR="00FD19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проведена в соответствии с основными положениями постановления Правительства Российской Федерации от 22.06.2019 г. № 796 «Об общих требованиях к оценке налоговых расходов субъектов Российской Федерации и муниципальных образований», Порядком</w:t>
      </w:r>
      <w:r w:rsidRPr="00425BE8">
        <w:rPr>
          <w:rFonts w:ascii="Times New Roman" w:hAnsi="Times New Roman" w:cs="Times New Roman"/>
          <w:sz w:val="28"/>
          <w:szCs w:val="28"/>
        </w:rPr>
        <w:t xml:space="preserve"> формирования перечня налоговых льгот (налоговых расходов) </w:t>
      </w:r>
      <w:r>
        <w:rPr>
          <w:rFonts w:ascii="Times New Roman" w:hAnsi="Times New Roman" w:cs="Times New Roman"/>
          <w:sz w:val="28"/>
          <w:szCs w:val="28"/>
        </w:rPr>
        <w:t>Желанновского сельского поселения</w:t>
      </w:r>
      <w:r w:rsidRPr="00425BE8">
        <w:rPr>
          <w:rFonts w:ascii="Times New Roman" w:hAnsi="Times New Roman" w:cs="Times New Roman"/>
          <w:sz w:val="28"/>
          <w:szCs w:val="28"/>
        </w:rPr>
        <w:t xml:space="preserve"> и обобщения результатов оценки эффективности налоговых льгот (налоговых расходов) </w:t>
      </w:r>
      <w:r w:rsidRPr="00AD20A9">
        <w:rPr>
          <w:rFonts w:ascii="Times New Roman" w:hAnsi="Times New Roman" w:cs="Times New Roman"/>
          <w:sz w:val="28"/>
          <w:szCs w:val="28"/>
        </w:rPr>
        <w:t>Желанновского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r w:rsidRPr="002262BB">
        <w:rPr>
          <w:rFonts w:ascii="Times New Roman" w:hAnsi="Times New Roman" w:cs="Times New Roman"/>
          <w:sz w:val="28"/>
          <w:szCs w:val="28"/>
        </w:rPr>
        <w:t>Желанновского</w:t>
      </w:r>
      <w:proofErr w:type="gramEnd"/>
      <w:r w:rsidRPr="002262BB"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от 12.12.2019г. № 89 (далее – Порядок),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проведения оценки эффективности налоговых расходов </w:t>
      </w:r>
      <w:r w:rsidRPr="002262BB">
        <w:rPr>
          <w:rFonts w:ascii="Times New Roman" w:hAnsi="Times New Roman" w:cs="Times New Roman"/>
          <w:sz w:val="28"/>
          <w:szCs w:val="28"/>
        </w:rPr>
        <w:t>Желанновского сельского поселения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использовались данные о категориях налогоплательщиков, о суммах выпадающих доходов и количестве налогоплательщиков, воспользовавшихся льготами, представленные ИФНС России №</w:t>
      </w:r>
      <w:r w:rsidR="001035A0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 xml:space="preserve"> по Омской области.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Порядком сформирован реестр налоговых расходов </w:t>
      </w:r>
      <w:r w:rsidRPr="002262BB">
        <w:rPr>
          <w:rFonts w:ascii="Times New Roman" w:hAnsi="Times New Roman" w:cs="Times New Roman"/>
          <w:sz w:val="28"/>
          <w:szCs w:val="28"/>
        </w:rPr>
        <w:t>Желанновского сельского поселения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 действовавших в 202</w:t>
      </w:r>
      <w:r w:rsidR="00FD19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зависимости от целевой категории определены основные виды налоговых расходов на территории </w:t>
      </w:r>
      <w:r w:rsidRPr="002262BB">
        <w:rPr>
          <w:rFonts w:ascii="Times New Roman" w:hAnsi="Times New Roman" w:cs="Times New Roman"/>
          <w:sz w:val="28"/>
          <w:szCs w:val="28"/>
        </w:rPr>
        <w:t xml:space="preserve">Желанновского сельского поселения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- технические.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проведения оценки эффективности налоговых расходов осуществлялась оценка целесообразности (востребованность налоговых расходов, соответствие и (или) целям социально-экономической политики) и их результативности.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эффективности налоговых расходов проводится в целях минимизации риска предоставления неэффективных налоговых расходов. Результаты оценки используются при формировании проекта местного бюджета на очередной финансовый год и плановый период.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Решением Совета </w:t>
      </w:r>
      <w:r w:rsidRPr="002262BB">
        <w:rPr>
          <w:rFonts w:ascii="Times New Roman" w:hAnsi="Times New Roman" w:cs="Times New Roman"/>
          <w:sz w:val="28"/>
          <w:szCs w:val="28"/>
        </w:rPr>
        <w:t xml:space="preserve">Желанновского сельского поселения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от 20.11.2019г. № 2 «</w:t>
      </w:r>
      <w:r w:rsidR="00E865DD" w:rsidRPr="00E865DD">
        <w:rPr>
          <w:rFonts w:ascii="Times New Roman" w:hAnsi="Times New Roman" w:cs="Times New Roman"/>
          <w:sz w:val="28"/>
          <w:szCs w:val="28"/>
        </w:rPr>
        <w:t xml:space="preserve">О введении на </w:t>
      </w:r>
      <w:r w:rsidR="00E865DD" w:rsidRPr="00E865DD">
        <w:rPr>
          <w:rFonts w:ascii="Times New Roman" w:hAnsi="Times New Roman" w:cs="Times New Roman"/>
          <w:sz w:val="28"/>
          <w:szCs w:val="28"/>
        </w:rPr>
        <w:lastRenderedPageBreak/>
        <w:t>территории Желанновского сельского поселения Одесского муниципального района Омской области земельного налога</w:t>
      </w:r>
      <w:r>
        <w:rPr>
          <w:rFonts w:ascii="Times New Roman" w:hAnsi="Times New Roman" w:cs="Times New Roman"/>
          <w:sz w:val="28"/>
          <w:szCs w:val="28"/>
        </w:rPr>
        <w:t>» установлены налоговые льготы по земельному налогу для налогоплательщиков</w:t>
      </w:r>
      <w:r w:rsidR="00E865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юридических лиц.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налоговых и неналоговых доходов </w:t>
      </w:r>
      <w:r w:rsidRPr="001C05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2262BB">
        <w:rPr>
          <w:rFonts w:ascii="Times New Roman" w:hAnsi="Times New Roman" w:cs="Times New Roman"/>
          <w:sz w:val="28"/>
          <w:szCs w:val="28"/>
        </w:rPr>
        <w:t xml:space="preserve">Желанновского сельского поселения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FD19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C7A76">
        <w:rPr>
          <w:rFonts w:ascii="Times New Roman" w:hAnsi="Times New Roman" w:cs="Times New Roman"/>
          <w:sz w:val="28"/>
          <w:szCs w:val="28"/>
        </w:rPr>
        <w:t>5251,5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 земельный налог – </w:t>
      </w:r>
      <w:r w:rsidR="004C7A76">
        <w:rPr>
          <w:rFonts w:ascii="Times New Roman" w:hAnsi="Times New Roman" w:cs="Times New Roman"/>
          <w:sz w:val="28"/>
          <w:szCs w:val="28"/>
        </w:rPr>
        <w:t>1874,1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Объем налоговых расходов в 202</w:t>
      </w:r>
      <w:r w:rsidR="00FD19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по данным ИФНС России №</w:t>
      </w:r>
      <w:r w:rsidR="007631AA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 xml:space="preserve"> по Омской области составил </w:t>
      </w:r>
      <w:r w:rsidR="007504FE">
        <w:rPr>
          <w:rFonts w:ascii="Times New Roman" w:hAnsi="Times New Roman" w:cs="Times New Roman"/>
          <w:sz w:val="28"/>
          <w:szCs w:val="28"/>
        </w:rPr>
        <w:t>3</w:t>
      </w:r>
      <w:r w:rsidR="00FD19F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Их доля в объеме налоговых и неналоговых доходов бюджета </w:t>
      </w:r>
      <w:r w:rsidRPr="00E317AE">
        <w:rPr>
          <w:rFonts w:ascii="Times New Roman" w:hAnsi="Times New Roman" w:cs="Times New Roman"/>
          <w:sz w:val="28"/>
          <w:szCs w:val="28"/>
        </w:rPr>
        <w:t xml:space="preserve">Желанновского сельского поселения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отчетном году составила </w:t>
      </w:r>
      <w:r w:rsidR="00E13F62" w:rsidRPr="00CF3971">
        <w:rPr>
          <w:rFonts w:ascii="Times New Roman" w:hAnsi="Times New Roman" w:cs="Times New Roman"/>
          <w:sz w:val="28"/>
          <w:szCs w:val="28"/>
        </w:rPr>
        <w:t>0,5</w:t>
      </w:r>
      <w:r w:rsidRPr="00CF3971">
        <w:rPr>
          <w:rFonts w:ascii="Times New Roman" w:hAnsi="Times New Roman" w:cs="Times New Roman"/>
          <w:sz w:val="28"/>
          <w:szCs w:val="28"/>
        </w:rPr>
        <w:t>%.</w:t>
      </w:r>
    </w:p>
    <w:p w:rsidR="00CF5730" w:rsidRDefault="00CF5730" w:rsidP="00E86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Основной объем налоговых расходов в 202</w:t>
      </w:r>
      <w:r w:rsidR="00FD19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приходится на технические налоговые расходы (100%), которые представлены налоговыми льготами по земельному налогу для органов местного самоуправления </w:t>
      </w:r>
      <w:r w:rsidRPr="00E317AE">
        <w:rPr>
          <w:rFonts w:ascii="Times New Roman" w:hAnsi="Times New Roman" w:cs="Times New Roman"/>
          <w:sz w:val="28"/>
          <w:szCs w:val="28"/>
        </w:rPr>
        <w:t>Желанновского сельского поселения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который финансируется из бюджета </w:t>
      </w:r>
      <w:r w:rsidRPr="00E317AE">
        <w:rPr>
          <w:rFonts w:ascii="Times New Roman" w:hAnsi="Times New Roman" w:cs="Times New Roman"/>
          <w:sz w:val="28"/>
          <w:szCs w:val="28"/>
        </w:rPr>
        <w:t>Желанновского сельского поселения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 В 20</w:t>
      </w:r>
      <w:r w:rsidR="008E3C49">
        <w:rPr>
          <w:rFonts w:ascii="Times New Roman" w:hAnsi="Times New Roman" w:cs="Times New Roman"/>
          <w:sz w:val="28"/>
          <w:szCs w:val="28"/>
        </w:rPr>
        <w:t>2</w:t>
      </w:r>
      <w:r w:rsidR="00FD19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удельный вес технических налоговых расходов в общем объеме налоговых расходов составил также 100 %.</w:t>
      </w:r>
    </w:p>
    <w:p w:rsidR="00CF5730" w:rsidRDefault="00E1660F" w:rsidP="00E16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 w:rsidR="00CF573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пунктом</w:t>
      </w:r>
      <w:r w:rsidR="00CF5730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730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CF5730" w:rsidRPr="00E317AE">
        <w:rPr>
          <w:rFonts w:ascii="Times New Roman" w:hAnsi="Times New Roman" w:cs="Times New Roman"/>
          <w:sz w:val="28"/>
          <w:szCs w:val="28"/>
        </w:rPr>
        <w:t xml:space="preserve">Желанновского сельского поселения Одесского муниципального района Омской области </w:t>
      </w:r>
      <w:r w:rsidR="00CF5730" w:rsidRPr="00BD1B22">
        <w:rPr>
          <w:rFonts w:ascii="Times New Roman" w:hAnsi="Times New Roman" w:cs="Times New Roman"/>
          <w:sz w:val="28"/>
          <w:szCs w:val="28"/>
        </w:rPr>
        <w:t>от 2</w:t>
      </w:r>
      <w:r w:rsidR="00CF5730">
        <w:rPr>
          <w:rFonts w:ascii="Times New Roman" w:hAnsi="Times New Roman" w:cs="Times New Roman"/>
          <w:sz w:val="28"/>
          <w:szCs w:val="28"/>
        </w:rPr>
        <w:t>0</w:t>
      </w:r>
      <w:r w:rsidR="00CF5730" w:rsidRPr="00BD1B22">
        <w:rPr>
          <w:rFonts w:ascii="Times New Roman" w:hAnsi="Times New Roman" w:cs="Times New Roman"/>
          <w:sz w:val="28"/>
          <w:szCs w:val="28"/>
        </w:rPr>
        <w:t>.11.201</w:t>
      </w:r>
      <w:r w:rsidR="00CF5730">
        <w:rPr>
          <w:rFonts w:ascii="Times New Roman" w:hAnsi="Times New Roman" w:cs="Times New Roman"/>
          <w:sz w:val="28"/>
          <w:szCs w:val="28"/>
        </w:rPr>
        <w:t xml:space="preserve">9 </w:t>
      </w:r>
      <w:r w:rsidR="00CF5730" w:rsidRPr="00BD1B22">
        <w:rPr>
          <w:rFonts w:ascii="Times New Roman" w:hAnsi="Times New Roman" w:cs="Times New Roman"/>
          <w:sz w:val="28"/>
          <w:szCs w:val="28"/>
        </w:rPr>
        <w:t xml:space="preserve">г. № </w:t>
      </w:r>
      <w:r w:rsidR="00CF5730">
        <w:rPr>
          <w:rFonts w:ascii="Times New Roman" w:hAnsi="Times New Roman" w:cs="Times New Roman"/>
          <w:sz w:val="28"/>
          <w:szCs w:val="28"/>
        </w:rPr>
        <w:t xml:space="preserve">2 льготы по земельному налогу установлены для органов местного самоуправления, финансируемых из бюджета </w:t>
      </w:r>
      <w:r w:rsidR="00CF5730" w:rsidRPr="00E317AE">
        <w:rPr>
          <w:rFonts w:ascii="Times New Roman" w:hAnsi="Times New Roman" w:cs="Times New Roman"/>
          <w:sz w:val="28"/>
          <w:szCs w:val="28"/>
        </w:rPr>
        <w:t>Желанновского сельского поселения Одесского муниципального района Омской области</w:t>
      </w:r>
      <w:r w:rsidR="00CF573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F5730" w:rsidRDefault="00CF5730" w:rsidP="00CF57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налоговых расходах за 20</w:t>
      </w:r>
      <w:r w:rsidR="008E3C49">
        <w:rPr>
          <w:rFonts w:ascii="Times New Roman" w:hAnsi="Times New Roman" w:cs="Times New Roman"/>
          <w:sz w:val="28"/>
          <w:szCs w:val="28"/>
        </w:rPr>
        <w:t>2</w:t>
      </w:r>
      <w:r w:rsidR="00FD19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3211E0">
        <w:rPr>
          <w:rFonts w:ascii="Times New Roman" w:hAnsi="Times New Roman" w:cs="Times New Roman"/>
          <w:sz w:val="28"/>
          <w:szCs w:val="28"/>
        </w:rPr>
        <w:t>2</w:t>
      </w:r>
      <w:r w:rsidR="00FD19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 1.</w:t>
      </w:r>
    </w:p>
    <w:p w:rsidR="00CF5730" w:rsidRPr="00BD1B22" w:rsidRDefault="00CF5730" w:rsidP="00CF573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CF5730" w:rsidRDefault="00CF5730" w:rsidP="00CF5730">
      <w:pPr>
        <w:spacing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211E0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3950"/>
        <w:gridCol w:w="1833"/>
        <w:gridCol w:w="1833"/>
        <w:gridCol w:w="1282"/>
      </w:tblGrid>
      <w:tr w:rsidR="00CF5730" w:rsidTr="00552EC1">
        <w:trPr>
          <w:trHeight w:val="175"/>
        </w:trPr>
        <w:tc>
          <w:tcPr>
            <w:tcW w:w="673" w:type="dxa"/>
            <w:vMerge w:val="restart"/>
          </w:tcPr>
          <w:p w:rsidR="00CF5730" w:rsidRPr="00BD1B22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50" w:type="dxa"/>
            <w:vMerge w:val="restart"/>
          </w:tcPr>
          <w:p w:rsidR="00CF5730" w:rsidRPr="00BD1B22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Фискальные характеристики налоговых расходов</w:t>
            </w:r>
          </w:p>
        </w:tc>
        <w:tc>
          <w:tcPr>
            <w:tcW w:w="3666" w:type="dxa"/>
            <w:gridSpan w:val="2"/>
          </w:tcPr>
          <w:p w:rsidR="00CF5730" w:rsidRPr="00BD1B22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1282" w:type="dxa"/>
            <w:vMerge w:val="restart"/>
          </w:tcPr>
          <w:p w:rsidR="00CF5730" w:rsidRPr="00BD1B22" w:rsidRDefault="00CF5730" w:rsidP="00FD1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 роста (снижения) 20</w:t>
            </w:r>
            <w:r w:rsidR="003211E0">
              <w:rPr>
                <w:rFonts w:ascii="Times New Roman" w:hAnsi="Times New Roman" w:cs="Times New Roman"/>
              </w:rPr>
              <w:t>2</w:t>
            </w:r>
            <w:r w:rsidR="00FD19F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 к 20</w:t>
            </w:r>
            <w:r w:rsidR="00987CD8">
              <w:rPr>
                <w:rFonts w:ascii="Times New Roman" w:hAnsi="Times New Roman" w:cs="Times New Roman"/>
              </w:rPr>
              <w:t>2</w:t>
            </w:r>
            <w:r w:rsidR="00FD19F1">
              <w:rPr>
                <w:rFonts w:ascii="Times New Roman" w:hAnsi="Times New Roman" w:cs="Times New Roman"/>
              </w:rPr>
              <w:t>2</w:t>
            </w:r>
            <w:r w:rsidR="00987C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году, %</w:t>
            </w:r>
          </w:p>
        </w:tc>
      </w:tr>
      <w:tr w:rsidR="00CF5730" w:rsidTr="00552EC1">
        <w:trPr>
          <w:trHeight w:val="562"/>
        </w:trPr>
        <w:tc>
          <w:tcPr>
            <w:tcW w:w="673" w:type="dxa"/>
            <w:vMerge/>
          </w:tcPr>
          <w:p w:rsidR="00CF5730" w:rsidRDefault="00CF5730" w:rsidP="00552E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vMerge/>
          </w:tcPr>
          <w:p w:rsidR="00CF5730" w:rsidRDefault="00CF5730" w:rsidP="00552E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F5730" w:rsidRDefault="00CF5730" w:rsidP="00FD1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3C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1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33" w:type="dxa"/>
          </w:tcPr>
          <w:p w:rsidR="00CF5730" w:rsidRDefault="00CF5730" w:rsidP="00FD1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1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19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  <w:vMerge/>
          </w:tcPr>
          <w:p w:rsidR="00CF5730" w:rsidRDefault="00CF5730" w:rsidP="00552E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730" w:rsidTr="00552EC1">
        <w:trPr>
          <w:trHeight w:val="380"/>
        </w:trPr>
        <w:tc>
          <w:tcPr>
            <w:tcW w:w="67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0" w:type="dxa"/>
          </w:tcPr>
          <w:p w:rsidR="00CF5730" w:rsidRPr="00BD1B22" w:rsidRDefault="00CF5730" w:rsidP="00552E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налоговых расходов в результате освобождения от налогообложения органов местного самоуправления, финансируемых из бюджета </w:t>
            </w:r>
            <w:r w:rsidRPr="00E317AE">
              <w:rPr>
                <w:rFonts w:ascii="Times New Roman" w:hAnsi="Times New Roman" w:cs="Times New Roman"/>
              </w:rPr>
              <w:t>Желанновского сельского поселения Одесского муниципального района Омской области</w:t>
            </w:r>
            <w:r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833" w:type="dxa"/>
          </w:tcPr>
          <w:p w:rsidR="00CF5730" w:rsidRPr="00BD1B22" w:rsidRDefault="00E861CE" w:rsidP="00FD1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D19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3" w:type="dxa"/>
          </w:tcPr>
          <w:p w:rsidR="00CF5730" w:rsidRPr="00BD1B22" w:rsidRDefault="007504FE" w:rsidP="00FD1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D1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CF5730" w:rsidRPr="00BD1B22" w:rsidRDefault="007504FE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1,03</w:t>
            </w:r>
          </w:p>
        </w:tc>
      </w:tr>
      <w:tr w:rsidR="00CF5730" w:rsidTr="00552EC1">
        <w:trPr>
          <w:trHeight w:val="380"/>
        </w:trPr>
        <w:tc>
          <w:tcPr>
            <w:tcW w:w="67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0" w:type="dxa"/>
          </w:tcPr>
          <w:p w:rsidR="00CF5730" w:rsidRDefault="00CF5730" w:rsidP="00552E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выпадающих доходов бюджета в результате применения налоговой льготы по земельному налогу, тыс. руб.</w:t>
            </w:r>
          </w:p>
        </w:tc>
        <w:tc>
          <w:tcPr>
            <w:tcW w:w="1833" w:type="dxa"/>
          </w:tcPr>
          <w:p w:rsidR="00CF5730" w:rsidRPr="00BD1B22" w:rsidRDefault="00E861CE" w:rsidP="00FD1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D19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3" w:type="dxa"/>
          </w:tcPr>
          <w:p w:rsidR="00CF5730" w:rsidRPr="00BD1B22" w:rsidRDefault="007504FE" w:rsidP="00FD1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D1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</w:tcPr>
          <w:p w:rsidR="00CF5730" w:rsidRPr="00BD1B22" w:rsidRDefault="007504FE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1,03</w:t>
            </w:r>
          </w:p>
        </w:tc>
      </w:tr>
      <w:tr w:rsidR="00CF5730" w:rsidTr="00552EC1">
        <w:trPr>
          <w:trHeight w:val="380"/>
        </w:trPr>
        <w:tc>
          <w:tcPr>
            <w:tcW w:w="67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950" w:type="dxa"/>
          </w:tcPr>
          <w:p w:rsidR="00CF5730" w:rsidRDefault="00CF5730" w:rsidP="00552E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налогоплательщиков, воспользовавшихся льготой, ед.</w:t>
            </w:r>
          </w:p>
        </w:tc>
        <w:tc>
          <w:tcPr>
            <w:tcW w:w="1833" w:type="dxa"/>
          </w:tcPr>
          <w:p w:rsidR="00CF5730" w:rsidRDefault="00FD19F1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3" w:type="dxa"/>
          </w:tcPr>
          <w:p w:rsidR="00CF5730" w:rsidRDefault="00FD19F1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F5730" w:rsidTr="00552EC1">
        <w:trPr>
          <w:trHeight w:val="380"/>
        </w:trPr>
        <w:tc>
          <w:tcPr>
            <w:tcW w:w="67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0" w:type="dxa"/>
          </w:tcPr>
          <w:p w:rsidR="00CF5730" w:rsidRDefault="00CF5730" w:rsidP="00552E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органов местного самоуправления, ед.</w:t>
            </w:r>
          </w:p>
        </w:tc>
        <w:tc>
          <w:tcPr>
            <w:tcW w:w="183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F5730" w:rsidRPr="00BD1B22" w:rsidRDefault="00CF5730" w:rsidP="00CF5730">
      <w:pPr>
        <w:spacing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865DD" w:rsidRDefault="00CF5730" w:rsidP="00E865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BAD">
        <w:rPr>
          <w:rFonts w:ascii="Times New Roman" w:hAnsi="Times New Roman" w:cs="Times New Roman"/>
          <w:sz w:val="28"/>
          <w:szCs w:val="28"/>
          <w:u w:val="single"/>
        </w:rPr>
        <w:tab/>
        <w:t xml:space="preserve">Оценка целесообразности и результативности налогового расхода по земельному налогу для органов местного самоуправления, финансируемых из бюджета </w:t>
      </w:r>
      <w:r w:rsidRPr="00E317AE">
        <w:rPr>
          <w:rFonts w:ascii="Times New Roman" w:hAnsi="Times New Roman" w:cs="Times New Roman"/>
          <w:sz w:val="28"/>
          <w:szCs w:val="28"/>
          <w:u w:val="single"/>
        </w:rPr>
        <w:t>Желанновского сельского поселения Одесского муниципального района Омской области</w:t>
      </w:r>
      <w:r w:rsidRPr="00972BAD">
        <w:rPr>
          <w:rFonts w:ascii="Times New Roman" w:hAnsi="Times New Roman" w:cs="Times New Roman"/>
          <w:sz w:val="28"/>
          <w:szCs w:val="28"/>
        </w:rPr>
        <w:t>.</w:t>
      </w:r>
    </w:p>
    <w:p w:rsidR="00A52572" w:rsidRPr="00A52572" w:rsidRDefault="00E865DD" w:rsidP="00E865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2572" w:rsidRPr="00A525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2572" w:rsidRPr="00A52572">
        <w:rPr>
          <w:rFonts w:ascii="Times New Roman" w:hAnsi="Times New Roman" w:cs="Times New Roman"/>
          <w:sz w:val="28"/>
          <w:szCs w:val="28"/>
        </w:rPr>
        <w:t>Произведена оценка эффективности налоговых расходов (налоговых льгот) по местным налогам в целях оптимизации перечня действующих налоговых льгот (налоговых расходов) и их соответствия общественным интересам, повышения точности прогнозирования результатов предоставления налоговых расходов (налоговых льгот), обеспечения оптимального выбора объектов для предоставления финансовой поддержки в форме налоговых расходов (налоговых льгот), сокращения потерь бюджета поселения.</w:t>
      </w:r>
      <w:proofErr w:type="gramEnd"/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ab/>
        <w:t>Согласно статье 61 Бюджетного кодекса</w:t>
      </w:r>
      <w:r w:rsidR="00935D3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A52572">
        <w:rPr>
          <w:rFonts w:ascii="Times New Roman" w:hAnsi="Times New Roman" w:cs="Times New Roman"/>
          <w:sz w:val="28"/>
          <w:szCs w:val="28"/>
        </w:rPr>
        <w:t xml:space="preserve"> в бюджет поселения зачисляются налоговые доходы от местных налогов, устанавливаемых представительными органами поселений в соответствии с законодательством Российской Федерации о налогах и сборах: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>1) Земельный налог – по нормативу 100 процентов;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>2) налог на имущество физических лиц – по нормативу 100 процентов.</w:t>
      </w:r>
    </w:p>
    <w:p w:rsidR="00A52572" w:rsidRPr="00A52572" w:rsidRDefault="00E1660F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2572" w:rsidRPr="00A52572">
        <w:rPr>
          <w:rFonts w:ascii="Times New Roman" w:hAnsi="Times New Roman" w:cs="Times New Roman"/>
          <w:sz w:val="28"/>
          <w:szCs w:val="28"/>
        </w:rPr>
        <w:t>Оценка эффективности налоговых льгот проводится в целях оптимизации перечня налоговых преференций и обеспечения оптимального выбора объектов для предоставления поддержки в виде налоговых льгот.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52572" w:rsidRPr="00A52572">
        <w:rPr>
          <w:rFonts w:ascii="Times New Roman" w:hAnsi="Times New Roman" w:cs="Times New Roman"/>
          <w:sz w:val="28"/>
          <w:szCs w:val="28"/>
        </w:rPr>
        <w:t>Для оценки эффективности налоговых льгот используются следующие критерии: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>бюджетная эффективность – влияние налоговых льгот на доходы и расходы местного бюджета;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>техническая эффективность – технические последствия предоставляемых налоговых льгот в целях уменьшения расходов налогоплательщиков, финансовое обеспечение которых осуществляется в полном объеме или частично за счет бюджета Же</w:t>
      </w:r>
      <w:r w:rsidR="00C96965">
        <w:rPr>
          <w:rFonts w:ascii="Times New Roman" w:hAnsi="Times New Roman" w:cs="Times New Roman"/>
          <w:sz w:val="28"/>
          <w:szCs w:val="28"/>
        </w:rPr>
        <w:t>ланновского сельского поселения.</w:t>
      </w:r>
    </w:p>
    <w:p w:rsidR="00AD5B2D" w:rsidRPr="00AD5B2D" w:rsidRDefault="00AD5B2D" w:rsidP="00AD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AD5B2D">
        <w:rPr>
          <w:rFonts w:ascii="Times New Roman" w:hAnsi="Times New Roman" w:cs="Times New Roman"/>
          <w:sz w:val="28"/>
          <w:szCs w:val="28"/>
        </w:rPr>
        <w:t xml:space="preserve">По результатам проведённой оценки эффективности налоговых расходов (налоговых льгот) </w:t>
      </w:r>
      <w:r>
        <w:rPr>
          <w:rFonts w:ascii="Times New Roman" w:hAnsi="Times New Roman" w:cs="Times New Roman"/>
          <w:sz w:val="28"/>
          <w:szCs w:val="28"/>
        </w:rPr>
        <w:t>Желанновского</w:t>
      </w:r>
      <w:r w:rsidRPr="00AD5B2D"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B2D">
        <w:rPr>
          <w:rFonts w:ascii="Times New Roman" w:hAnsi="Times New Roman" w:cs="Times New Roman"/>
          <w:sz w:val="28"/>
          <w:szCs w:val="28"/>
        </w:rPr>
        <w:t xml:space="preserve"> налоговые льготы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D5B2D">
        <w:rPr>
          <w:rFonts w:ascii="Times New Roman" w:hAnsi="Times New Roman" w:cs="Times New Roman"/>
          <w:sz w:val="28"/>
          <w:szCs w:val="28"/>
        </w:rPr>
        <w:t>рганизациям, финансируемым из бюджета Одесского муниципального района Омской области и бюджета Желанновского сельского поселения Одесского муниципального района Омской области – в отношении земельных участков, находящихся в собственности, пост</w:t>
      </w:r>
      <w:r>
        <w:rPr>
          <w:rFonts w:ascii="Times New Roman" w:hAnsi="Times New Roman" w:cs="Times New Roman"/>
          <w:sz w:val="28"/>
          <w:szCs w:val="28"/>
        </w:rPr>
        <w:t>оянном (бессрочном) пользовании, п</w:t>
      </w:r>
      <w:r w:rsidRPr="00AD5B2D">
        <w:rPr>
          <w:rFonts w:ascii="Times New Roman" w:hAnsi="Times New Roman" w:cs="Times New Roman"/>
          <w:sz w:val="28"/>
          <w:szCs w:val="28"/>
        </w:rPr>
        <w:t>ризнаны эффективными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5B2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AD5B2D" w:rsidRPr="00AD5B2D" w:rsidRDefault="00AD5B2D" w:rsidP="00AD5B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B2D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A52572" w:rsidRDefault="00AD5B2D" w:rsidP="00AD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AD5B2D">
        <w:rPr>
          <w:rFonts w:ascii="Times New Roman" w:hAnsi="Times New Roman" w:cs="Times New Roman"/>
          <w:sz w:val="28"/>
          <w:szCs w:val="28"/>
        </w:rPr>
        <w:t xml:space="preserve">Технические налоговые расходы организациям, финансируемым из бюджета Одесского муниципального района Омской области и бюджета </w:t>
      </w:r>
      <w:r>
        <w:rPr>
          <w:rFonts w:ascii="Times New Roman" w:hAnsi="Times New Roman" w:cs="Times New Roman"/>
          <w:sz w:val="28"/>
          <w:szCs w:val="28"/>
        </w:rPr>
        <w:t>Желанновского</w:t>
      </w:r>
      <w:r w:rsidRPr="00AD5B2D"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 Омской области – в отношении земельных участков, находящихся в собственности, постоянном (бессрочном) пользовании признать </w:t>
      </w:r>
      <w:r w:rsidRPr="00AD5B2D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эффективными, так как они имеют исключительно бюджетный эффект, выражающийся в оптимизации расходов местных бюджетов, снижении налоговой нагрузки на учреждения, и сохранить </w:t>
      </w:r>
      <w:r w:rsidR="00DF6796">
        <w:rPr>
          <w:rFonts w:ascii="Times New Roman" w:hAnsi="Times New Roman" w:cs="Times New Roman"/>
          <w:sz w:val="28"/>
          <w:szCs w:val="28"/>
        </w:rPr>
        <w:t>введённые</w:t>
      </w:r>
      <w:r w:rsidRPr="00AD5B2D">
        <w:rPr>
          <w:rFonts w:ascii="Times New Roman" w:hAnsi="Times New Roman" w:cs="Times New Roman"/>
          <w:sz w:val="28"/>
          <w:szCs w:val="28"/>
        </w:rPr>
        <w:t xml:space="preserve"> льготы.</w:t>
      </w:r>
      <w:proofErr w:type="gramEnd"/>
    </w:p>
    <w:p w:rsidR="00AD5B2D" w:rsidRDefault="00AD5B2D" w:rsidP="00AD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058" w:rsidRDefault="00B90058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730" w:rsidRPr="008C1F09" w:rsidRDefault="000E5BA2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1-й категории</w:t>
      </w:r>
      <w:r w:rsidR="00CF57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О.Ю.Бойко</w:t>
      </w:r>
      <w:proofErr w:type="spellEnd"/>
    </w:p>
    <w:p w:rsidR="00AB485E" w:rsidRDefault="00AB485E"/>
    <w:sectPr w:rsidR="00AB4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D77"/>
    <w:rsid w:val="00054BD2"/>
    <w:rsid w:val="000E5BA2"/>
    <w:rsid w:val="001035A0"/>
    <w:rsid w:val="00170589"/>
    <w:rsid w:val="002164D9"/>
    <w:rsid w:val="003211E0"/>
    <w:rsid w:val="00462F2B"/>
    <w:rsid w:val="004C7A76"/>
    <w:rsid w:val="006A6BB9"/>
    <w:rsid w:val="007063E9"/>
    <w:rsid w:val="007504FE"/>
    <w:rsid w:val="00760480"/>
    <w:rsid w:val="007631AA"/>
    <w:rsid w:val="00837A37"/>
    <w:rsid w:val="008B0E2D"/>
    <w:rsid w:val="008E3C49"/>
    <w:rsid w:val="00935D3A"/>
    <w:rsid w:val="00987CD8"/>
    <w:rsid w:val="00A52572"/>
    <w:rsid w:val="00A979A5"/>
    <w:rsid w:val="00AB485E"/>
    <w:rsid w:val="00AD5B2D"/>
    <w:rsid w:val="00B101F9"/>
    <w:rsid w:val="00B62741"/>
    <w:rsid w:val="00B90058"/>
    <w:rsid w:val="00C07508"/>
    <w:rsid w:val="00C96965"/>
    <w:rsid w:val="00CF3971"/>
    <w:rsid w:val="00CF5730"/>
    <w:rsid w:val="00D03AE9"/>
    <w:rsid w:val="00D32D77"/>
    <w:rsid w:val="00DD0A7B"/>
    <w:rsid w:val="00DF6796"/>
    <w:rsid w:val="00E13F62"/>
    <w:rsid w:val="00E1660F"/>
    <w:rsid w:val="00E41BCE"/>
    <w:rsid w:val="00E861CE"/>
    <w:rsid w:val="00E865DD"/>
    <w:rsid w:val="00ED5C9E"/>
    <w:rsid w:val="00F33CF5"/>
    <w:rsid w:val="00FD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5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5B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5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5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52</cp:revision>
  <cp:lastPrinted>2025-01-20T10:18:00Z</cp:lastPrinted>
  <dcterms:created xsi:type="dcterms:W3CDTF">2021-08-03T06:08:00Z</dcterms:created>
  <dcterms:modified xsi:type="dcterms:W3CDTF">2025-01-20T10:35:00Z</dcterms:modified>
</cp:coreProperties>
</file>