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94A" w:rsidRPr="004C794A" w:rsidRDefault="006B0031" w:rsidP="004C794A">
      <w:pPr>
        <w:autoSpaceDE w:val="0"/>
        <w:autoSpaceDN w:val="0"/>
        <w:adjustRightInd w:val="0"/>
        <w:outlineLvl w:val="0"/>
        <w:rPr>
          <w:rFonts w:eastAsia="Calibri"/>
          <w:sz w:val="20"/>
          <w:szCs w:val="20"/>
          <w:lang w:eastAsia="en-US"/>
        </w:rPr>
      </w:pPr>
      <w:r>
        <w:rPr>
          <w:rFonts w:eastAsia="Calibri"/>
          <w:sz w:val="20"/>
          <w:szCs w:val="20"/>
          <w:lang w:eastAsia="en-US"/>
        </w:rPr>
        <w:t xml:space="preserve">                                                                                                                                                                                                                                </w:t>
      </w:r>
      <w:r w:rsidR="002E2A3E">
        <w:rPr>
          <w:rFonts w:eastAsia="Calibri"/>
          <w:sz w:val="20"/>
          <w:szCs w:val="20"/>
          <w:lang w:eastAsia="en-US"/>
        </w:rPr>
        <w:t xml:space="preserve">        </w:t>
      </w:r>
      <w:r>
        <w:rPr>
          <w:rFonts w:eastAsia="Calibri"/>
          <w:sz w:val="20"/>
          <w:szCs w:val="20"/>
          <w:lang w:eastAsia="en-US"/>
        </w:rPr>
        <w:t xml:space="preserve"> </w:t>
      </w:r>
      <w:r w:rsidR="004C794A" w:rsidRPr="004C794A">
        <w:rPr>
          <w:rFonts w:eastAsia="Calibri"/>
          <w:sz w:val="20"/>
          <w:szCs w:val="20"/>
          <w:lang w:eastAsia="en-US"/>
        </w:rPr>
        <w:t>При</w:t>
      </w:r>
      <w:bookmarkStart w:id="0" w:name="_GoBack"/>
      <w:bookmarkEnd w:id="0"/>
      <w:r w:rsidR="004C794A" w:rsidRPr="004C794A">
        <w:rPr>
          <w:rFonts w:eastAsia="Calibri"/>
          <w:sz w:val="20"/>
          <w:szCs w:val="20"/>
          <w:lang w:eastAsia="en-US"/>
        </w:rPr>
        <w:t xml:space="preserve">ложение №2 </w:t>
      </w:r>
    </w:p>
    <w:p w:rsidR="006B0031" w:rsidRDefault="006B0031" w:rsidP="004C794A">
      <w:pPr>
        <w:autoSpaceDE w:val="0"/>
        <w:autoSpaceDN w:val="0"/>
        <w:adjustRightInd w:val="0"/>
        <w:outlineLvl w:val="0"/>
        <w:rPr>
          <w:rFonts w:eastAsia="Calibri"/>
          <w:sz w:val="20"/>
          <w:szCs w:val="20"/>
          <w:lang w:eastAsia="en-US"/>
        </w:rPr>
      </w:pPr>
      <w:r>
        <w:rPr>
          <w:rFonts w:eastAsia="Calibri"/>
          <w:sz w:val="20"/>
          <w:szCs w:val="20"/>
          <w:lang w:eastAsia="en-US"/>
        </w:rPr>
        <w:t xml:space="preserve">                                                                                                                                                                                                                                         </w:t>
      </w:r>
      <w:r w:rsidR="004C794A" w:rsidRPr="004C794A">
        <w:rPr>
          <w:rFonts w:eastAsia="Calibri"/>
          <w:sz w:val="20"/>
          <w:szCs w:val="20"/>
          <w:lang w:eastAsia="en-US"/>
        </w:rPr>
        <w:t xml:space="preserve">к Результатам оценки эффективности </w:t>
      </w:r>
      <w:r>
        <w:rPr>
          <w:rFonts w:eastAsia="Calibri"/>
          <w:sz w:val="20"/>
          <w:szCs w:val="20"/>
          <w:lang w:eastAsia="en-US"/>
        </w:rPr>
        <w:t xml:space="preserve">              </w:t>
      </w:r>
    </w:p>
    <w:p w:rsidR="00A77C34" w:rsidRPr="002E2A3E" w:rsidRDefault="006B0031" w:rsidP="002E2A3E">
      <w:pPr>
        <w:autoSpaceDE w:val="0"/>
        <w:autoSpaceDN w:val="0"/>
        <w:adjustRightInd w:val="0"/>
        <w:outlineLvl w:val="0"/>
        <w:rPr>
          <w:rFonts w:eastAsia="Calibri"/>
          <w:sz w:val="20"/>
          <w:szCs w:val="20"/>
          <w:lang w:eastAsia="en-US"/>
        </w:rPr>
      </w:pPr>
      <w:r>
        <w:rPr>
          <w:rFonts w:eastAsia="Calibri"/>
          <w:sz w:val="20"/>
          <w:szCs w:val="20"/>
          <w:lang w:eastAsia="en-US"/>
        </w:rPr>
        <w:t xml:space="preserve">                                                                                                                                                                                                                                         </w:t>
      </w:r>
      <w:r w:rsidR="004C794A" w:rsidRPr="004C794A">
        <w:rPr>
          <w:rFonts w:eastAsia="Calibri"/>
          <w:sz w:val="20"/>
          <w:szCs w:val="20"/>
          <w:lang w:eastAsia="en-US"/>
        </w:rPr>
        <w:t>реализации</w:t>
      </w:r>
      <w:r w:rsidR="002E2A3E">
        <w:rPr>
          <w:rFonts w:eastAsia="Calibri"/>
          <w:sz w:val="20"/>
          <w:szCs w:val="20"/>
          <w:lang w:eastAsia="en-US"/>
        </w:rPr>
        <w:t xml:space="preserve"> </w:t>
      </w:r>
      <w:r w:rsidR="004C794A" w:rsidRPr="004C794A">
        <w:rPr>
          <w:rFonts w:eastAsia="Calibri"/>
          <w:sz w:val="20"/>
          <w:szCs w:val="20"/>
          <w:lang w:eastAsia="en-US"/>
        </w:rPr>
        <w:t>муниципальной программы</w:t>
      </w:r>
    </w:p>
    <w:p w:rsidR="004C794A" w:rsidRDefault="004C794A" w:rsidP="00A77C34">
      <w:pPr>
        <w:pStyle w:val="ConsPlusNormal"/>
        <w:jc w:val="center"/>
        <w:rPr>
          <w:rFonts w:ascii="Times New Roman" w:hAnsi="Times New Roman" w:cs="Times New Roman"/>
          <w:sz w:val="24"/>
          <w:szCs w:val="24"/>
        </w:rPr>
      </w:pPr>
      <w:bookmarkStart w:id="1" w:name="P1263"/>
      <w:bookmarkEnd w:id="1"/>
    </w:p>
    <w:p w:rsidR="004C794A" w:rsidRDefault="004C794A" w:rsidP="00A77C34">
      <w:pPr>
        <w:pStyle w:val="ConsPlusNormal"/>
        <w:jc w:val="center"/>
        <w:rPr>
          <w:rFonts w:ascii="Times New Roman" w:hAnsi="Times New Roman" w:cs="Times New Roman"/>
          <w:sz w:val="24"/>
          <w:szCs w:val="24"/>
        </w:rPr>
      </w:pPr>
    </w:p>
    <w:p w:rsidR="00A77C34" w:rsidRPr="00EB7497" w:rsidRDefault="00A77C34" w:rsidP="00A77C34">
      <w:pPr>
        <w:pStyle w:val="ConsPlusNormal"/>
        <w:jc w:val="center"/>
        <w:rPr>
          <w:rFonts w:ascii="Times New Roman" w:hAnsi="Times New Roman" w:cs="Times New Roman"/>
          <w:sz w:val="24"/>
          <w:szCs w:val="24"/>
        </w:rPr>
      </w:pPr>
      <w:r w:rsidRPr="00EB7497">
        <w:rPr>
          <w:rFonts w:ascii="Times New Roman" w:hAnsi="Times New Roman" w:cs="Times New Roman"/>
          <w:sz w:val="24"/>
          <w:szCs w:val="24"/>
        </w:rPr>
        <w:t>ОТЧЕТ</w:t>
      </w:r>
    </w:p>
    <w:p w:rsidR="00A77C34" w:rsidRPr="00EB7497" w:rsidRDefault="00A77C34" w:rsidP="00A77C34">
      <w:pPr>
        <w:pStyle w:val="ConsPlusNormal"/>
        <w:jc w:val="center"/>
        <w:rPr>
          <w:rFonts w:ascii="Times New Roman" w:hAnsi="Times New Roman" w:cs="Times New Roman"/>
          <w:sz w:val="24"/>
          <w:szCs w:val="24"/>
        </w:rPr>
      </w:pPr>
      <w:r w:rsidRPr="00EB7497">
        <w:rPr>
          <w:rFonts w:ascii="Times New Roman" w:hAnsi="Times New Roman" w:cs="Times New Roman"/>
          <w:sz w:val="24"/>
          <w:szCs w:val="24"/>
        </w:rPr>
        <w:t>о достижении плановых значений ожидаемых результатов</w:t>
      </w:r>
    </w:p>
    <w:p w:rsidR="00A77C34" w:rsidRPr="00EB7497" w:rsidRDefault="00A77C34" w:rsidP="00A77C34">
      <w:pPr>
        <w:pStyle w:val="ConsPlusNormal"/>
        <w:jc w:val="center"/>
        <w:rPr>
          <w:rFonts w:ascii="Times New Roman" w:hAnsi="Times New Roman" w:cs="Times New Roman"/>
          <w:sz w:val="24"/>
          <w:szCs w:val="24"/>
        </w:rPr>
      </w:pPr>
      <w:r w:rsidRPr="00EB7497">
        <w:rPr>
          <w:rFonts w:ascii="Times New Roman" w:hAnsi="Times New Roman" w:cs="Times New Roman"/>
          <w:sz w:val="24"/>
          <w:szCs w:val="24"/>
        </w:rPr>
        <w:t>реализации муниципальной программы Одесского муниципального района Омской области</w:t>
      </w:r>
    </w:p>
    <w:p w:rsidR="00A77C34" w:rsidRPr="00EB7497" w:rsidRDefault="00A77C34" w:rsidP="00A77C34">
      <w:pPr>
        <w:pStyle w:val="ConsPlusNormal"/>
        <w:jc w:val="center"/>
        <w:rPr>
          <w:rFonts w:ascii="Times New Roman" w:hAnsi="Times New Roman" w:cs="Times New Roman"/>
          <w:sz w:val="24"/>
          <w:szCs w:val="24"/>
        </w:rPr>
      </w:pPr>
      <w:r w:rsidRPr="00EB7497">
        <w:rPr>
          <w:rFonts w:ascii="Times New Roman" w:hAnsi="Times New Roman" w:cs="Times New Roman"/>
          <w:sz w:val="24"/>
          <w:szCs w:val="24"/>
        </w:rPr>
        <w:t xml:space="preserve">(далее - муниципальная программа) за </w:t>
      </w:r>
      <w:r w:rsidR="00FC14B9" w:rsidRPr="00EB7497">
        <w:rPr>
          <w:rFonts w:ascii="Times New Roman" w:hAnsi="Times New Roman" w:cs="Times New Roman"/>
          <w:sz w:val="24"/>
          <w:szCs w:val="24"/>
        </w:rPr>
        <w:t>202</w:t>
      </w:r>
      <w:r w:rsidR="000E7533" w:rsidRPr="00EB7497">
        <w:rPr>
          <w:rFonts w:ascii="Times New Roman" w:hAnsi="Times New Roman" w:cs="Times New Roman"/>
          <w:sz w:val="24"/>
          <w:szCs w:val="24"/>
        </w:rPr>
        <w:t>2</w:t>
      </w:r>
      <w:r w:rsidRPr="00EB7497">
        <w:rPr>
          <w:rFonts w:ascii="Times New Roman" w:hAnsi="Times New Roman" w:cs="Times New Roman"/>
          <w:sz w:val="24"/>
          <w:szCs w:val="24"/>
        </w:rPr>
        <w:t xml:space="preserve"> год</w:t>
      </w:r>
    </w:p>
    <w:p w:rsidR="00FC14B9" w:rsidRPr="00EB7497" w:rsidRDefault="00FC14B9" w:rsidP="00FC14B9">
      <w:pPr>
        <w:jc w:val="center"/>
        <w:rPr>
          <w:sz w:val="24"/>
          <w:szCs w:val="24"/>
        </w:rPr>
      </w:pPr>
      <w:r w:rsidRPr="00EB7497">
        <w:rPr>
          <w:sz w:val="24"/>
          <w:szCs w:val="24"/>
        </w:rPr>
        <w:t xml:space="preserve">«Развитие культуры и туризма  Одесского муниципального района </w:t>
      </w:r>
    </w:p>
    <w:p w:rsidR="00A77C34" w:rsidRPr="00EB7497" w:rsidRDefault="00FC14B9" w:rsidP="00FC14B9">
      <w:pPr>
        <w:jc w:val="center"/>
        <w:rPr>
          <w:sz w:val="24"/>
          <w:szCs w:val="24"/>
        </w:rPr>
      </w:pPr>
      <w:r w:rsidRPr="00EB7497">
        <w:rPr>
          <w:sz w:val="24"/>
          <w:szCs w:val="24"/>
        </w:rPr>
        <w:t xml:space="preserve">Омской области» </w:t>
      </w:r>
    </w:p>
    <w:p w:rsidR="0001397F" w:rsidRPr="00FC14B9" w:rsidRDefault="0001397F" w:rsidP="00FC14B9">
      <w:pPr>
        <w:jc w:val="center"/>
        <w:rPr>
          <w:b/>
          <w:sz w:val="28"/>
          <w:szCs w:val="28"/>
        </w:rPr>
      </w:pPr>
    </w:p>
    <w:tbl>
      <w:tblPr>
        <w:tblW w:w="15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 w:type="dxa"/>
          <w:left w:w="6" w:type="dxa"/>
          <w:bottom w:w="6" w:type="dxa"/>
          <w:right w:w="6" w:type="dxa"/>
        </w:tblCellMar>
        <w:tblLook w:val="0000" w:firstRow="0" w:lastRow="0" w:firstColumn="0" w:lastColumn="0" w:noHBand="0" w:noVBand="0"/>
      </w:tblPr>
      <w:tblGrid>
        <w:gridCol w:w="510"/>
        <w:gridCol w:w="3891"/>
        <w:gridCol w:w="2976"/>
        <w:gridCol w:w="1134"/>
        <w:gridCol w:w="1134"/>
        <w:gridCol w:w="993"/>
        <w:gridCol w:w="4392"/>
      </w:tblGrid>
      <w:tr w:rsidR="00A77C34" w:rsidRPr="00646318" w:rsidTr="009A1E11">
        <w:tc>
          <w:tcPr>
            <w:tcW w:w="510" w:type="dxa"/>
          </w:tcPr>
          <w:p w:rsidR="00A77C34" w:rsidRPr="00EB7497" w:rsidRDefault="00A77C34" w:rsidP="00217BEF">
            <w:pPr>
              <w:pStyle w:val="ConsPlusNormal"/>
              <w:ind w:firstLine="0"/>
              <w:jc w:val="center"/>
              <w:rPr>
                <w:rFonts w:ascii="Times New Roman" w:hAnsi="Times New Roman" w:cs="Times New Roman"/>
                <w:sz w:val="20"/>
                <w:szCs w:val="20"/>
              </w:rPr>
            </w:pPr>
            <w:r w:rsidRPr="00EB7497">
              <w:rPr>
                <w:rFonts w:ascii="Times New Roman" w:hAnsi="Times New Roman" w:cs="Times New Roman"/>
                <w:sz w:val="20"/>
                <w:szCs w:val="20"/>
              </w:rPr>
              <w:t xml:space="preserve">№ </w:t>
            </w:r>
            <w:proofErr w:type="gramStart"/>
            <w:r w:rsidRPr="00EB7497">
              <w:rPr>
                <w:rFonts w:ascii="Times New Roman" w:hAnsi="Times New Roman" w:cs="Times New Roman"/>
                <w:sz w:val="20"/>
                <w:szCs w:val="20"/>
              </w:rPr>
              <w:t>п</w:t>
            </w:r>
            <w:proofErr w:type="gramEnd"/>
            <w:r w:rsidRPr="00EB7497">
              <w:rPr>
                <w:rFonts w:ascii="Times New Roman" w:hAnsi="Times New Roman" w:cs="Times New Roman"/>
                <w:sz w:val="20"/>
                <w:szCs w:val="20"/>
              </w:rPr>
              <w:t>/п</w:t>
            </w:r>
          </w:p>
        </w:tc>
        <w:tc>
          <w:tcPr>
            <w:tcW w:w="3891" w:type="dxa"/>
          </w:tcPr>
          <w:p w:rsidR="00A77C34" w:rsidRPr="00EB7497" w:rsidRDefault="00A77C34" w:rsidP="00217BEF">
            <w:pPr>
              <w:pStyle w:val="ConsPlusNormal"/>
              <w:ind w:firstLine="0"/>
              <w:jc w:val="center"/>
              <w:rPr>
                <w:rFonts w:ascii="Times New Roman" w:hAnsi="Times New Roman" w:cs="Times New Roman"/>
                <w:sz w:val="20"/>
                <w:szCs w:val="20"/>
              </w:rPr>
            </w:pPr>
            <w:r w:rsidRPr="00EB7497">
              <w:rPr>
                <w:rFonts w:ascii="Times New Roman" w:hAnsi="Times New Roman" w:cs="Times New Roman"/>
                <w:sz w:val="20"/>
                <w:szCs w:val="20"/>
              </w:rPr>
              <w:t>Наименование ожидаемого результата реализации муниципальной программы (подпрограммы)</w:t>
            </w:r>
          </w:p>
        </w:tc>
        <w:tc>
          <w:tcPr>
            <w:tcW w:w="2976" w:type="dxa"/>
          </w:tcPr>
          <w:p w:rsidR="00A77C34" w:rsidRPr="00EB7497" w:rsidRDefault="00A77C34" w:rsidP="00217BEF">
            <w:pPr>
              <w:pStyle w:val="ConsPlusNormal"/>
              <w:ind w:firstLine="0"/>
              <w:jc w:val="center"/>
              <w:rPr>
                <w:rFonts w:ascii="Times New Roman" w:hAnsi="Times New Roman" w:cs="Times New Roman"/>
                <w:sz w:val="20"/>
                <w:szCs w:val="20"/>
              </w:rPr>
            </w:pPr>
            <w:r w:rsidRPr="00EB7497">
              <w:rPr>
                <w:rFonts w:ascii="Times New Roman" w:hAnsi="Times New Roman" w:cs="Times New Roman"/>
                <w:sz w:val="20"/>
                <w:szCs w:val="20"/>
              </w:rPr>
              <w:t>Единица измерения</w:t>
            </w:r>
          </w:p>
        </w:tc>
        <w:tc>
          <w:tcPr>
            <w:tcW w:w="1134" w:type="dxa"/>
          </w:tcPr>
          <w:p w:rsidR="00A77C34" w:rsidRPr="00EB7497" w:rsidRDefault="00A77C34" w:rsidP="00217BEF">
            <w:pPr>
              <w:pStyle w:val="ConsPlusNormal"/>
              <w:ind w:firstLine="0"/>
              <w:jc w:val="center"/>
              <w:rPr>
                <w:rFonts w:ascii="Times New Roman" w:hAnsi="Times New Roman" w:cs="Times New Roman"/>
                <w:sz w:val="20"/>
                <w:szCs w:val="20"/>
              </w:rPr>
            </w:pPr>
            <w:r w:rsidRPr="00EB7497">
              <w:rPr>
                <w:rFonts w:ascii="Times New Roman" w:hAnsi="Times New Roman" w:cs="Times New Roman"/>
                <w:sz w:val="20"/>
                <w:szCs w:val="20"/>
              </w:rPr>
              <w:t>План</w:t>
            </w:r>
          </w:p>
        </w:tc>
        <w:tc>
          <w:tcPr>
            <w:tcW w:w="1134" w:type="dxa"/>
          </w:tcPr>
          <w:p w:rsidR="00A77C34" w:rsidRPr="00EB7497" w:rsidRDefault="00A77C34" w:rsidP="00217BEF">
            <w:pPr>
              <w:pStyle w:val="ConsPlusNormal"/>
              <w:ind w:firstLine="0"/>
              <w:jc w:val="center"/>
              <w:rPr>
                <w:rFonts w:ascii="Times New Roman" w:hAnsi="Times New Roman" w:cs="Times New Roman"/>
                <w:sz w:val="20"/>
                <w:szCs w:val="20"/>
              </w:rPr>
            </w:pPr>
            <w:r w:rsidRPr="00EB7497">
              <w:rPr>
                <w:rFonts w:ascii="Times New Roman" w:hAnsi="Times New Roman" w:cs="Times New Roman"/>
                <w:sz w:val="20"/>
                <w:szCs w:val="20"/>
              </w:rPr>
              <w:t>Факт</w:t>
            </w:r>
          </w:p>
        </w:tc>
        <w:tc>
          <w:tcPr>
            <w:tcW w:w="993" w:type="dxa"/>
          </w:tcPr>
          <w:p w:rsidR="00A77C34" w:rsidRPr="00EB7497" w:rsidRDefault="00A77C34" w:rsidP="00217BEF">
            <w:pPr>
              <w:pStyle w:val="ConsPlusNormal"/>
              <w:ind w:firstLine="0"/>
              <w:jc w:val="center"/>
              <w:rPr>
                <w:rFonts w:ascii="Times New Roman" w:hAnsi="Times New Roman" w:cs="Times New Roman"/>
                <w:sz w:val="20"/>
                <w:szCs w:val="20"/>
              </w:rPr>
            </w:pPr>
            <w:r w:rsidRPr="00EB7497">
              <w:rPr>
                <w:rFonts w:ascii="Times New Roman" w:hAnsi="Times New Roman" w:cs="Times New Roman"/>
                <w:sz w:val="20"/>
                <w:szCs w:val="20"/>
              </w:rPr>
              <w:t>Отклонение &lt;1&gt;</w:t>
            </w:r>
          </w:p>
        </w:tc>
        <w:tc>
          <w:tcPr>
            <w:tcW w:w="4392" w:type="dxa"/>
          </w:tcPr>
          <w:p w:rsidR="00A77C34" w:rsidRPr="00EB7497" w:rsidRDefault="00A77C34" w:rsidP="00217BEF">
            <w:pPr>
              <w:pStyle w:val="ConsPlusNormal"/>
              <w:ind w:firstLine="0"/>
              <w:jc w:val="center"/>
              <w:rPr>
                <w:rFonts w:ascii="Times New Roman" w:hAnsi="Times New Roman" w:cs="Times New Roman"/>
                <w:sz w:val="20"/>
                <w:szCs w:val="20"/>
              </w:rPr>
            </w:pPr>
            <w:r w:rsidRPr="00EB7497">
              <w:rPr>
                <w:rFonts w:ascii="Times New Roman" w:hAnsi="Times New Roman" w:cs="Times New Roman"/>
                <w:sz w:val="20"/>
                <w:szCs w:val="20"/>
              </w:rPr>
              <w:t xml:space="preserve">Причины </w:t>
            </w:r>
            <w:proofErr w:type="gramStart"/>
            <w:r w:rsidRPr="00EB7497">
              <w:rPr>
                <w:rFonts w:ascii="Times New Roman" w:hAnsi="Times New Roman" w:cs="Times New Roman"/>
                <w:sz w:val="20"/>
                <w:szCs w:val="20"/>
              </w:rPr>
              <w:t>не</w:t>
            </w:r>
            <w:r w:rsidR="00FD49C9" w:rsidRPr="00EB7497">
              <w:rPr>
                <w:rFonts w:ascii="Times New Roman" w:hAnsi="Times New Roman" w:cs="Times New Roman"/>
                <w:sz w:val="20"/>
                <w:szCs w:val="20"/>
              </w:rPr>
              <w:t xml:space="preserve"> </w:t>
            </w:r>
            <w:r w:rsidRPr="00EB7497">
              <w:rPr>
                <w:rFonts w:ascii="Times New Roman" w:hAnsi="Times New Roman" w:cs="Times New Roman"/>
                <w:sz w:val="20"/>
                <w:szCs w:val="20"/>
              </w:rPr>
              <w:t>достижения</w:t>
            </w:r>
            <w:proofErr w:type="gramEnd"/>
            <w:r w:rsidRPr="00EB7497">
              <w:rPr>
                <w:rFonts w:ascii="Times New Roman" w:hAnsi="Times New Roman" w:cs="Times New Roman"/>
                <w:sz w:val="20"/>
                <w:szCs w:val="20"/>
              </w:rPr>
              <w:t xml:space="preserve"> ожидаемого результата реализации муниципальной программы (подпрограммы)</w:t>
            </w:r>
          </w:p>
        </w:tc>
      </w:tr>
      <w:tr w:rsidR="00A77C34" w:rsidRPr="00646318" w:rsidTr="009A1E11">
        <w:tc>
          <w:tcPr>
            <w:tcW w:w="510" w:type="dxa"/>
            <w:vAlign w:val="bottom"/>
          </w:tcPr>
          <w:p w:rsidR="00A77C34" w:rsidRPr="00EB7497" w:rsidRDefault="00A77C34" w:rsidP="00217BEF">
            <w:pPr>
              <w:pStyle w:val="ConsPlusNormal"/>
              <w:ind w:firstLine="0"/>
              <w:jc w:val="center"/>
              <w:rPr>
                <w:rFonts w:ascii="Times New Roman" w:hAnsi="Times New Roman" w:cs="Times New Roman"/>
                <w:sz w:val="20"/>
                <w:szCs w:val="20"/>
              </w:rPr>
            </w:pPr>
            <w:r w:rsidRPr="00EB7497">
              <w:rPr>
                <w:rFonts w:ascii="Times New Roman" w:hAnsi="Times New Roman" w:cs="Times New Roman"/>
                <w:sz w:val="20"/>
                <w:szCs w:val="20"/>
              </w:rPr>
              <w:t>1</w:t>
            </w:r>
          </w:p>
        </w:tc>
        <w:tc>
          <w:tcPr>
            <w:tcW w:w="3891" w:type="dxa"/>
            <w:vAlign w:val="bottom"/>
          </w:tcPr>
          <w:p w:rsidR="00A77C34" w:rsidRPr="00EB7497" w:rsidRDefault="00A77C34" w:rsidP="00217BEF">
            <w:pPr>
              <w:pStyle w:val="ConsPlusNormal"/>
              <w:ind w:firstLine="0"/>
              <w:jc w:val="center"/>
              <w:rPr>
                <w:rFonts w:ascii="Times New Roman" w:hAnsi="Times New Roman" w:cs="Times New Roman"/>
                <w:sz w:val="20"/>
                <w:szCs w:val="20"/>
              </w:rPr>
            </w:pPr>
            <w:r w:rsidRPr="00EB7497">
              <w:rPr>
                <w:rFonts w:ascii="Times New Roman" w:hAnsi="Times New Roman" w:cs="Times New Roman"/>
                <w:sz w:val="20"/>
                <w:szCs w:val="20"/>
              </w:rPr>
              <w:t>2</w:t>
            </w:r>
          </w:p>
        </w:tc>
        <w:tc>
          <w:tcPr>
            <w:tcW w:w="2976" w:type="dxa"/>
            <w:vAlign w:val="bottom"/>
          </w:tcPr>
          <w:p w:rsidR="00A77C34" w:rsidRPr="00EB7497" w:rsidRDefault="00A77C34" w:rsidP="00217BEF">
            <w:pPr>
              <w:pStyle w:val="ConsPlusNormal"/>
              <w:ind w:firstLine="0"/>
              <w:jc w:val="center"/>
              <w:rPr>
                <w:rFonts w:ascii="Times New Roman" w:hAnsi="Times New Roman" w:cs="Times New Roman"/>
                <w:sz w:val="20"/>
                <w:szCs w:val="20"/>
              </w:rPr>
            </w:pPr>
            <w:r w:rsidRPr="00EB7497">
              <w:rPr>
                <w:rFonts w:ascii="Times New Roman" w:hAnsi="Times New Roman" w:cs="Times New Roman"/>
                <w:sz w:val="20"/>
                <w:szCs w:val="20"/>
              </w:rPr>
              <w:t>3</w:t>
            </w:r>
          </w:p>
        </w:tc>
        <w:tc>
          <w:tcPr>
            <w:tcW w:w="1134" w:type="dxa"/>
            <w:vAlign w:val="bottom"/>
          </w:tcPr>
          <w:p w:rsidR="00A77C34" w:rsidRPr="00EB7497" w:rsidRDefault="00A77C34" w:rsidP="00217BEF">
            <w:pPr>
              <w:pStyle w:val="ConsPlusNormal"/>
              <w:ind w:firstLine="0"/>
              <w:jc w:val="center"/>
              <w:rPr>
                <w:rFonts w:ascii="Times New Roman" w:hAnsi="Times New Roman" w:cs="Times New Roman"/>
                <w:sz w:val="20"/>
                <w:szCs w:val="20"/>
              </w:rPr>
            </w:pPr>
            <w:r w:rsidRPr="00EB7497">
              <w:rPr>
                <w:rFonts w:ascii="Times New Roman" w:hAnsi="Times New Roman" w:cs="Times New Roman"/>
                <w:sz w:val="20"/>
                <w:szCs w:val="20"/>
              </w:rPr>
              <w:t>4</w:t>
            </w:r>
          </w:p>
        </w:tc>
        <w:tc>
          <w:tcPr>
            <w:tcW w:w="1134" w:type="dxa"/>
            <w:vAlign w:val="bottom"/>
          </w:tcPr>
          <w:p w:rsidR="00A77C34" w:rsidRPr="00EB7497" w:rsidRDefault="00A77C34" w:rsidP="00217BEF">
            <w:pPr>
              <w:pStyle w:val="ConsPlusNormal"/>
              <w:ind w:firstLine="0"/>
              <w:jc w:val="center"/>
              <w:rPr>
                <w:rFonts w:ascii="Times New Roman" w:hAnsi="Times New Roman" w:cs="Times New Roman"/>
                <w:sz w:val="20"/>
                <w:szCs w:val="20"/>
              </w:rPr>
            </w:pPr>
            <w:r w:rsidRPr="00EB7497">
              <w:rPr>
                <w:rFonts w:ascii="Times New Roman" w:hAnsi="Times New Roman" w:cs="Times New Roman"/>
                <w:sz w:val="20"/>
                <w:szCs w:val="20"/>
              </w:rPr>
              <w:t>5</w:t>
            </w:r>
          </w:p>
        </w:tc>
        <w:tc>
          <w:tcPr>
            <w:tcW w:w="993" w:type="dxa"/>
            <w:vAlign w:val="bottom"/>
          </w:tcPr>
          <w:p w:rsidR="00A77C34" w:rsidRPr="00EB7497" w:rsidRDefault="00A77C34" w:rsidP="00217BEF">
            <w:pPr>
              <w:pStyle w:val="ConsPlusNormal"/>
              <w:ind w:firstLine="0"/>
              <w:jc w:val="center"/>
              <w:rPr>
                <w:rFonts w:ascii="Times New Roman" w:hAnsi="Times New Roman" w:cs="Times New Roman"/>
                <w:sz w:val="20"/>
                <w:szCs w:val="20"/>
              </w:rPr>
            </w:pPr>
            <w:r w:rsidRPr="00EB7497">
              <w:rPr>
                <w:rFonts w:ascii="Times New Roman" w:hAnsi="Times New Roman" w:cs="Times New Roman"/>
                <w:sz w:val="20"/>
                <w:szCs w:val="20"/>
              </w:rPr>
              <w:t>6</w:t>
            </w:r>
          </w:p>
        </w:tc>
        <w:tc>
          <w:tcPr>
            <w:tcW w:w="4392" w:type="dxa"/>
            <w:vAlign w:val="bottom"/>
          </w:tcPr>
          <w:p w:rsidR="00A77C34" w:rsidRPr="00EB7497" w:rsidRDefault="00A77C34" w:rsidP="00217BEF">
            <w:pPr>
              <w:pStyle w:val="ConsPlusNormal"/>
              <w:ind w:firstLine="0"/>
              <w:jc w:val="center"/>
              <w:rPr>
                <w:rFonts w:ascii="Times New Roman" w:hAnsi="Times New Roman" w:cs="Times New Roman"/>
                <w:sz w:val="20"/>
                <w:szCs w:val="20"/>
              </w:rPr>
            </w:pPr>
            <w:r w:rsidRPr="00EB7497">
              <w:rPr>
                <w:rFonts w:ascii="Times New Roman" w:hAnsi="Times New Roman" w:cs="Times New Roman"/>
                <w:sz w:val="20"/>
                <w:szCs w:val="20"/>
              </w:rPr>
              <w:t>7</w:t>
            </w:r>
          </w:p>
        </w:tc>
      </w:tr>
      <w:tr w:rsidR="00A77C34" w:rsidRPr="00646318" w:rsidTr="00217BEF">
        <w:tc>
          <w:tcPr>
            <w:tcW w:w="15030" w:type="dxa"/>
            <w:gridSpan w:val="7"/>
            <w:vAlign w:val="bottom"/>
          </w:tcPr>
          <w:p w:rsidR="00A77C34" w:rsidRPr="00EB7497" w:rsidRDefault="00A77C34" w:rsidP="00217BEF">
            <w:pPr>
              <w:pStyle w:val="ConsPlusNormal"/>
              <w:ind w:firstLine="0"/>
              <w:jc w:val="center"/>
              <w:rPr>
                <w:rFonts w:ascii="Times New Roman" w:hAnsi="Times New Roman" w:cs="Times New Roman"/>
                <w:sz w:val="20"/>
                <w:szCs w:val="20"/>
              </w:rPr>
            </w:pPr>
            <w:r w:rsidRPr="00EB7497">
              <w:rPr>
                <w:rFonts w:ascii="Times New Roman" w:hAnsi="Times New Roman" w:cs="Times New Roman"/>
                <w:sz w:val="20"/>
                <w:szCs w:val="20"/>
              </w:rPr>
              <w:t>Муниципальная программа</w:t>
            </w:r>
          </w:p>
        </w:tc>
      </w:tr>
      <w:tr w:rsidR="00F11D7E" w:rsidRPr="00646318" w:rsidTr="00646318">
        <w:tc>
          <w:tcPr>
            <w:tcW w:w="510"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1.1</w:t>
            </w:r>
          </w:p>
        </w:tc>
        <w:tc>
          <w:tcPr>
            <w:tcW w:w="3891"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Организация культуры и досуга</w:t>
            </w:r>
          </w:p>
        </w:tc>
        <w:tc>
          <w:tcPr>
            <w:tcW w:w="2976"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Количество жителей Одесского района, занимающихся творческой деятельностью на непрофессиональной основе,</w:t>
            </w:r>
          </w:p>
          <w:p w:rsidR="00F11D7E" w:rsidRPr="00EB7497" w:rsidRDefault="00F11D7E" w:rsidP="008D391F">
            <w:pPr>
              <w:autoSpaceDE w:val="0"/>
              <w:autoSpaceDN w:val="0"/>
              <w:adjustRightInd w:val="0"/>
              <w:jc w:val="center"/>
              <w:outlineLvl w:val="1"/>
              <w:rPr>
                <w:sz w:val="20"/>
                <w:szCs w:val="20"/>
              </w:rPr>
            </w:pPr>
            <w:r w:rsidRPr="00EB7497">
              <w:rPr>
                <w:sz w:val="20"/>
                <w:szCs w:val="20"/>
              </w:rPr>
              <w:t>единицы</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3076</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3096</w:t>
            </w:r>
          </w:p>
        </w:tc>
        <w:tc>
          <w:tcPr>
            <w:tcW w:w="993"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20</w:t>
            </w:r>
          </w:p>
        </w:tc>
        <w:tc>
          <w:tcPr>
            <w:tcW w:w="4392" w:type="dxa"/>
          </w:tcPr>
          <w:p w:rsidR="00F11D7E" w:rsidRPr="00EB7497" w:rsidRDefault="00F11D7E" w:rsidP="00154BDC">
            <w:pPr>
              <w:autoSpaceDE w:val="0"/>
              <w:autoSpaceDN w:val="0"/>
              <w:adjustRightInd w:val="0"/>
              <w:jc w:val="center"/>
              <w:outlineLvl w:val="1"/>
              <w:rPr>
                <w:sz w:val="20"/>
                <w:szCs w:val="20"/>
              </w:rPr>
            </w:pPr>
          </w:p>
        </w:tc>
      </w:tr>
      <w:tr w:rsidR="00F11D7E" w:rsidRPr="00646318" w:rsidTr="00646318">
        <w:tc>
          <w:tcPr>
            <w:tcW w:w="510"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1.1.</w:t>
            </w:r>
          </w:p>
          <w:p w:rsidR="00F11D7E" w:rsidRPr="00EB7497" w:rsidRDefault="00F11D7E" w:rsidP="008D391F">
            <w:pPr>
              <w:autoSpaceDE w:val="0"/>
              <w:autoSpaceDN w:val="0"/>
              <w:adjustRightInd w:val="0"/>
              <w:jc w:val="center"/>
              <w:outlineLvl w:val="1"/>
              <w:rPr>
                <w:sz w:val="20"/>
                <w:szCs w:val="20"/>
              </w:rPr>
            </w:pPr>
            <w:r w:rsidRPr="00EB7497">
              <w:rPr>
                <w:sz w:val="20"/>
                <w:szCs w:val="20"/>
              </w:rPr>
              <w:t>11</w:t>
            </w:r>
          </w:p>
        </w:tc>
        <w:tc>
          <w:tcPr>
            <w:tcW w:w="3891"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Предоставление иных межбюджетных трансфертов бюджетам поселений  на предоставленную тепловую энергию, электрическую энергию для нужд отопления учреждениям культуры</w:t>
            </w:r>
          </w:p>
        </w:tc>
        <w:tc>
          <w:tcPr>
            <w:tcW w:w="2976"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 xml:space="preserve">Объём просроченной кредиторской задолженности за потребленную тепловую энергию (электрическую энергию для нужд отопления) учреждениями культуры поселений Одесского муниципального района Омской </w:t>
            </w:r>
            <w:proofErr w:type="spellStart"/>
            <w:r w:rsidRPr="00EB7497">
              <w:rPr>
                <w:sz w:val="20"/>
                <w:szCs w:val="20"/>
              </w:rPr>
              <w:t>области</w:t>
            </w:r>
            <w:proofErr w:type="gramStart"/>
            <w:r w:rsidRPr="00EB7497">
              <w:rPr>
                <w:sz w:val="20"/>
                <w:szCs w:val="20"/>
              </w:rPr>
              <w:t>,т</w:t>
            </w:r>
            <w:proofErr w:type="gramEnd"/>
            <w:r w:rsidRPr="00EB7497">
              <w:rPr>
                <w:sz w:val="20"/>
                <w:szCs w:val="20"/>
              </w:rPr>
              <w:t>ыс</w:t>
            </w:r>
            <w:proofErr w:type="spellEnd"/>
            <w:r w:rsidRPr="00EB7497">
              <w:rPr>
                <w:sz w:val="20"/>
                <w:szCs w:val="20"/>
              </w:rPr>
              <w:t>. руб.</w:t>
            </w:r>
          </w:p>
        </w:tc>
        <w:tc>
          <w:tcPr>
            <w:tcW w:w="1134" w:type="dxa"/>
          </w:tcPr>
          <w:p w:rsidR="00F11D7E" w:rsidRPr="00EB7497" w:rsidRDefault="00F11D7E" w:rsidP="008D391F">
            <w:pPr>
              <w:jc w:val="center"/>
              <w:rPr>
                <w:sz w:val="20"/>
                <w:szCs w:val="20"/>
              </w:rPr>
            </w:pPr>
            <w:r w:rsidRPr="00EB7497">
              <w:rPr>
                <w:sz w:val="20"/>
                <w:szCs w:val="20"/>
              </w:rPr>
              <w:t>1 455 399,18</w:t>
            </w:r>
          </w:p>
          <w:p w:rsidR="00F11D7E" w:rsidRPr="00EB7497" w:rsidRDefault="00F11D7E" w:rsidP="008D391F">
            <w:pPr>
              <w:autoSpaceDE w:val="0"/>
              <w:autoSpaceDN w:val="0"/>
              <w:adjustRightInd w:val="0"/>
              <w:jc w:val="center"/>
              <w:outlineLvl w:val="1"/>
              <w:rPr>
                <w:sz w:val="20"/>
                <w:szCs w:val="20"/>
              </w:rPr>
            </w:pPr>
          </w:p>
        </w:tc>
        <w:tc>
          <w:tcPr>
            <w:tcW w:w="1134" w:type="dxa"/>
          </w:tcPr>
          <w:p w:rsidR="00F11D7E" w:rsidRPr="00EB7497" w:rsidRDefault="00F11D7E" w:rsidP="008D391F">
            <w:pPr>
              <w:jc w:val="center"/>
              <w:rPr>
                <w:sz w:val="20"/>
                <w:szCs w:val="20"/>
              </w:rPr>
            </w:pPr>
            <w:r w:rsidRPr="00EB7497">
              <w:rPr>
                <w:sz w:val="20"/>
                <w:szCs w:val="20"/>
              </w:rPr>
              <w:t>1 455 399,18</w:t>
            </w:r>
          </w:p>
          <w:p w:rsidR="00F11D7E" w:rsidRPr="00EB7497" w:rsidRDefault="00F11D7E" w:rsidP="008D391F">
            <w:pPr>
              <w:jc w:val="center"/>
              <w:rPr>
                <w:sz w:val="20"/>
                <w:szCs w:val="20"/>
              </w:rPr>
            </w:pPr>
          </w:p>
        </w:tc>
        <w:tc>
          <w:tcPr>
            <w:tcW w:w="993"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4392" w:type="dxa"/>
          </w:tcPr>
          <w:p w:rsidR="00F11D7E" w:rsidRPr="00EB7497" w:rsidRDefault="00F11D7E" w:rsidP="00154BDC">
            <w:pPr>
              <w:autoSpaceDE w:val="0"/>
              <w:autoSpaceDN w:val="0"/>
              <w:adjustRightInd w:val="0"/>
              <w:jc w:val="center"/>
              <w:outlineLvl w:val="1"/>
              <w:rPr>
                <w:sz w:val="20"/>
                <w:szCs w:val="20"/>
              </w:rPr>
            </w:pPr>
          </w:p>
        </w:tc>
      </w:tr>
      <w:tr w:rsidR="00F11D7E" w:rsidRPr="00646318" w:rsidTr="00646318">
        <w:tc>
          <w:tcPr>
            <w:tcW w:w="510"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1.1.</w:t>
            </w:r>
          </w:p>
          <w:p w:rsidR="00F11D7E" w:rsidRPr="00EB7497" w:rsidRDefault="00F11D7E" w:rsidP="008D391F">
            <w:pPr>
              <w:autoSpaceDE w:val="0"/>
              <w:autoSpaceDN w:val="0"/>
              <w:adjustRightInd w:val="0"/>
              <w:jc w:val="center"/>
              <w:outlineLvl w:val="1"/>
              <w:rPr>
                <w:sz w:val="20"/>
                <w:szCs w:val="20"/>
              </w:rPr>
            </w:pPr>
            <w:r w:rsidRPr="00EB7497">
              <w:rPr>
                <w:sz w:val="20"/>
                <w:szCs w:val="20"/>
              </w:rPr>
              <w:t>12</w:t>
            </w:r>
          </w:p>
        </w:tc>
        <w:tc>
          <w:tcPr>
            <w:tcW w:w="3891"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Предоставление иных межбюджетных трансфертов бюджетам поселений  на создание условий для организации досуга и обеспечения жителей поселений услугами организаций культуры, в части капитального  ремонта зданий учреждений культуры</w:t>
            </w:r>
          </w:p>
        </w:tc>
        <w:tc>
          <w:tcPr>
            <w:tcW w:w="2976"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Количество отремонтированных учреждений культуры,</w:t>
            </w:r>
          </w:p>
          <w:p w:rsidR="00F11D7E" w:rsidRPr="00EB7497" w:rsidRDefault="00F11D7E" w:rsidP="008D391F">
            <w:pPr>
              <w:autoSpaceDE w:val="0"/>
              <w:autoSpaceDN w:val="0"/>
              <w:adjustRightInd w:val="0"/>
              <w:jc w:val="center"/>
              <w:outlineLvl w:val="1"/>
              <w:rPr>
                <w:sz w:val="20"/>
                <w:szCs w:val="20"/>
              </w:rPr>
            </w:pPr>
            <w:r w:rsidRPr="00EB7497">
              <w:rPr>
                <w:sz w:val="20"/>
                <w:szCs w:val="20"/>
              </w:rPr>
              <w:t>единицы</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993"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4392" w:type="dxa"/>
          </w:tcPr>
          <w:p w:rsidR="00F11D7E" w:rsidRPr="00EB7497" w:rsidRDefault="00F11D7E" w:rsidP="00154BDC">
            <w:pPr>
              <w:autoSpaceDE w:val="0"/>
              <w:autoSpaceDN w:val="0"/>
              <w:adjustRightInd w:val="0"/>
              <w:jc w:val="center"/>
              <w:outlineLvl w:val="1"/>
              <w:rPr>
                <w:sz w:val="20"/>
                <w:szCs w:val="20"/>
              </w:rPr>
            </w:pPr>
          </w:p>
        </w:tc>
      </w:tr>
      <w:tr w:rsidR="00F11D7E" w:rsidRPr="00646318" w:rsidTr="00646318">
        <w:tc>
          <w:tcPr>
            <w:tcW w:w="510"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1.1.</w:t>
            </w:r>
          </w:p>
          <w:p w:rsidR="00F11D7E" w:rsidRPr="00EB7497" w:rsidRDefault="00F11D7E" w:rsidP="008D391F">
            <w:pPr>
              <w:autoSpaceDE w:val="0"/>
              <w:autoSpaceDN w:val="0"/>
              <w:adjustRightInd w:val="0"/>
              <w:jc w:val="center"/>
              <w:outlineLvl w:val="1"/>
              <w:rPr>
                <w:sz w:val="20"/>
                <w:szCs w:val="20"/>
              </w:rPr>
            </w:pPr>
            <w:r w:rsidRPr="00EB7497">
              <w:rPr>
                <w:sz w:val="20"/>
                <w:szCs w:val="20"/>
              </w:rPr>
              <w:t>13</w:t>
            </w:r>
          </w:p>
        </w:tc>
        <w:tc>
          <w:tcPr>
            <w:tcW w:w="3891"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 xml:space="preserve">Предоставление иных межбюджетных трансфертов бюджетам поселений на создание условий для организации досуга и обеспечения жителей поселения услугами организаций культуры, в части перевода </w:t>
            </w:r>
            <w:r w:rsidRPr="00EB7497">
              <w:rPr>
                <w:sz w:val="20"/>
                <w:szCs w:val="20"/>
              </w:rPr>
              <w:lastRenderedPageBreak/>
              <w:t>зданий учреждений культуры на природный газ</w:t>
            </w:r>
          </w:p>
        </w:tc>
        <w:tc>
          <w:tcPr>
            <w:tcW w:w="2976"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lastRenderedPageBreak/>
              <w:t>Количество переведенных  зданий учреждений культуры на природный газ,</w:t>
            </w:r>
          </w:p>
          <w:p w:rsidR="00F11D7E" w:rsidRPr="00EB7497" w:rsidRDefault="00F11D7E" w:rsidP="008D391F">
            <w:pPr>
              <w:autoSpaceDE w:val="0"/>
              <w:autoSpaceDN w:val="0"/>
              <w:adjustRightInd w:val="0"/>
              <w:jc w:val="center"/>
              <w:outlineLvl w:val="1"/>
              <w:rPr>
                <w:sz w:val="20"/>
                <w:szCs w:val="20"/>
              </w:rPr>
            </w:pPr>
            <w:r w:rsidRPr="00EB7497">
              <w:rPr>
                <w:sz w:val="20"/>
                <w:szCs w:val="20"/>
              </w:rPr>
              <w:t>единицы</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993"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4392" w:type="dxa"/>
          </w:tcPr>
          <w:p w:rsidR="00F11D7E" w:rsidRPr="00EB7497" w:rsidRDefault="00F11D7E" w:rsidP="00154BDC">
            <w:pPr>
              <w:autoSpaceDE w:val="0"/>
              <w:autoSpaceDN w:val="0"/>
              <w:adjustRightInd w:val="0"/>
              <w:jc w:val="center"/>
              <w:outlineLvl w:val="1"/>
              <w:rPr>
                <w:sz w:val="20"/>
                <w:szCs w:val="20"/>
              </w:rPr>
            </w:pPr>
          </w:p>
        </w:tc>
      </w:tr>
      <w:tr w:rsidR="00F11D7E" w:rsidRPr="00646318" w:rsidTr="00646318">
        <w:tc>
          <w:tcPr>
            <w:tcW w:w="510"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lastRenderedPageBreak/>
              <w:t>2</w:t>
            </w:r>
          </w:p>
        </w:tc>
        <w:tc>
          <w:tcPr>
            <w:tcW w:w="3891"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Организация библиотечного обслуживания населения</w:t>
            </w:r>
          </w:p>
        </w:tc>
        <w:tc>
          <w:tcPr>
            <w:tcW w:w="2976"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Количество посещений муниципальных библиотек,</w:t>
            </w:r>
          </w:p>
          <w:p w:rsidR="00F11D7E" w:rsidRPr="00EB7497" w:rsidRDefault="00F11D7E" w:rsidP="008D391F">
            <w:pPr>
              <w:autoSpaceDE w:val="0"/>
              <w:autoSpaceDN w:val="0"/>
              <w:adjustRightInd w:val="0"/>
              <w:jc w:val="center"/>
              <w:outlineLvl w:val="1"/>
              <w:rPr>
                <w:sz w:val="20"/>
                <w:szCs w:val="20"/>
              </w:rPr>
            </w:pPr>
            <w:r w:rsidRPr="00EB7497">
              <w:rPr>
                <w:sz w:val="20"/>
                <w:szCs w:val="20"/>
              </w:rPr>
              <w:t>тыс. чел.</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136,499</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137,988</w:t>
            </w:r>
          </w:p>
        </w:tc>
        <w:tc>
          <w:tcPr>
            <w:tcW w:w="993"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1,489</w:t>
            </w:r>
          </w:p>
        </w:tc>
        <w:tc>
          <w:tcPr>
            <w:tcW w:w="4392" w:type="dxa"/>
          </w:tcPr>
          <w:p w:rsidR="00F11D7E" w:rsidRPr="00EB7497" w:rsidRDefault="00F11D7E" w:rsidP="00154BDC">
            <w:pPr>
              <w:autoSpaceDE w:val="0"/>
              <w:autoSpaceDN w:val="0"/>
              <w:adjustRightInd w:val="0"/>
              <w:jc w:val="center"/>
              <w:outlineLvl w:val="1"/>
              <w:rPr>
                <w:sz w:val="20"/>
                <w:szCs w:val="20"/>
              </w:rPr>
            </w:pPr>
          </w:p>
        </w:tc>
      </w:tr>
      <w:tr w:rsidR="00F11D7E" w:rsidRPr="00646318" w:rsidTr="00646318">
        <w:tc>
          <w:tcPr>
            <w:tcW w:w="510" w:type="dxa"/>
          </w:tcPr>
          <w:p w:rsidR="008D391F" w:rsidRPr="00EB7497" w:rsidRDefault="00F11D7E" w:rsidP="008D391F">
            <w:pPr>
              <w:autoSpaceDE w:val="0"/>
              <w:autoSpaceDN w:val="0"/>
              <w:adjustRightInd w:val="0"/>
              <w:jc w:val="center"/>
              <w:outlineLvl w:val="1"/>
              <w:rPr>
                <w:sz w:val="20"/>
                <w:szCs w:val="20"/>
              </w:rPr>
            </w:pPr>
            <w:r w:rsidRPr="00EB7497">
              <w:rPr>
                <w:sz w:val="20"/>
                <w:szCs w:val="20"/>
              </w:rPr>
              <w:t>2.1.</w:t>
            </w:r>
          </w:p>
          <w:p w:rsidR="00F11D7E" w:rsidRPr="00EB7497" w:rsidRDefault="00F11D7E" w:rsidP="008D391F">
            <w:pPr>
              <w:autoSpaceDE w:val="0"/>
              <w:autoSpaceDN w:val="0"/>
              <w:adjustRightInd w:val="0"/>
              <w:jc w:val="center"/>
              <w:outlineLvl w:val="1"/>
              <w:rPr>
                <w:sz w:val="20"/>
                <w:szCs w:val="20"/>
              </w:rPr>
            </w:pPr>
            <w:r w:rsidRPr="00EB7497">
              <w:rPr>
                <w:sz w:val="20"/>
                <w:szCs w:val="20"/>
              </w:rPr>
              <w:t>8</w:t>
            </w:r>
          </w:p>
        </w:tc>
        <w:tc>
          <w:tcPr>
            <w:tcW w:w="3891" w:type="dxa"/>
          </w:tcPr>
          <w:p w:rsidR="00F11D7E" w:rsidRPr="00EB7497" w:rsidRDefault="00F11D7E" w:rsidP="008D391F">
            <w:pPr>
              <w:jc w:val="center"/>
              <w:rPr>
                <w:color w:val="000000"/>
                <w:sz w:val="20"/>
                <w:szCs w:val="20"/>
              </w:rPr>
            </w:pPr>
            <w:r w:rsidRPr="00EB7497">
              <w:rPr>
                <w:color w:val="000000"/>
                <w:sz w:val="20"/>
                <w:szCs w:val="20"/>
              </w:rPr>
              <w:t>Государственная поддержка отрасли культуры (комплектование книжных фондов общедоступных (публичных) библиотек муниципальных образований Омской области)</w:t>
            </w:r>
          </w:p>
        </w:tc>
        <w:tc>
          <w:tcPr>
            <w:tcW w:w="2976" w:type="dxa"/>
          </w:tcPr>
          <w:p w:rsidR="00F11D7E" w:rsidRPr="00EB7497" w:rsidRDefault="00F11D7E" w:rsidP="008D391F">
            <w:pPr>
              <w:jc w:val="center"/>
              <w:rPr>
                <w:color w:val="000000"/>
                <w:sz w:val="20"/>
                <w:szCs w:val="20"/>
              </w:rPr>
            </w:pPr>
            <w:proofErr w:type="spellStart"/>
            <w:r w:rsidRPr="00EB7497">
              <w:rPr>
                <w:color w:val="000000"/>
                <w:sz w:val="20"/>
                <w:szCs w:val="20"/>
              </w:rPr>
              <w:t>Обновляемость</w:t>
            </w:r>
            <w:proofErr w:type="spellEnd"/>
            <w:r w:rsidRPr="00EB7497">
              <w:rPr>
                <w:color w:val="000000"/>
                <w:sz w:val="20"/>
                <w:szCs w:val="20"/>
              </w:rPr>
              <w:t xml:space="preserve">  книжных фондов общедоступных (публичных) библиотек муниципальных образований Омской области, проценты</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2</w:t>
            </w:r>
          </w:p>
        </w:tc>
        <w:tc>
          <w:tcPr>
            <w:tcW w:w="1134" w:type="dxa"/>
          </w:tcPr>
          <w:p w:rsidR="00F11D7E" w:rsidRPr="00EB7497" w:rsidRDefault="00F11D7E" w:rsidP="008D391F">
            <w:pPr>
              <w:jc w:val="center"/>
              <w:rPr>
                <w:color w:val="000000"/>
                <w:sz w:val="20"/>
                <w:szCs w:val="20"/>
              </w:rPr>
            </w:pPr>
            <w:r w:rsidRPr="00EB7497">
              <w:rPr>
                <w:color w:val="000000"/>
                <w:sz w:val="20"/>
                <w:szCs w:val="20"/>
              </w:rPr>
              <w:t>2,4</w:t>
            </w:r>
          </w:p>
        </w:tc>
        <w:tc>
          <w:tcPr>
            <w:tcW w:w="993" w:type="dxa"/>
          </w:tcPr>
          <w:p w:rsidR="00F11D7E" w:rsidRPr="00EB7497" w:rsidRDefault="00F11D7E" w:rsidP="008D391F">
            <w:pPr>
              <w:jc w:val="center"/>
              <w:rPr>
                <w:color w:val="000000"/>
                <w:sz w:val="20"/>
                <w:szCs w:val="20"/>
              </w:rPr>
            </w:pPr>
            <w:r w:rsidRPr="00EB7497">
              <w:rPr>
                <w:color w:val="000000"/>
                <w:sz w:val="20"/>
                <w:szCs w:val="20"/>
              </w:rPr>
              <w:t>0,4</w:t>
            </w:r>
          </w:p>
        </w:tc>
        <w:tc>
          <w:tcPr>
            <w:tcW w:w="4392" w:type="dxa"/>
          </w:tcPr>
          <w:p w:rsidR="00F11D7E" w:rsidRPr="00EB7497" w:rsidRDefault="00F11D7E" w:rsidP="00154BDC">
            <w:pPr>
              <w:autoSpaceDE w:val="0"/>
              <w:autoSpaceDN w:val="0"/>
              <w:adjustRightInd w:val="0"/>
              <w:jc w:val="center"/>
              <w:outlineLvl w:val="1"/>
              <w:rPr>
                <w:sz w:val="20"/>
                <w:szCs w:val="20"/>
              </w:rPr>
            </w:pPr>
          </w:p>
        </w:tc>
      </w:tr>
      <w:tr w:rsidR="00F11D7E" w:rsidRPr="00646318" w:rsidTr="00646318">
        <w:tc>
          <w:tcPr>
            <w:tcW w:w="510"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3</w:t>
            </w:r>
          </w:p>
        </w:tc>
        <w:tc>
          <w:tcPr>
            <w:tcW w:w="3891" w:type="dxa"/>
          </w:tcPr>
          <w:p w:rsidR="00F11D7E" w:rsidRPr="00EB7497" w:rsidRDefault="00F11D7E" w:rsidP="008D391F">
            <w:pPr>
              <w:jc w:val="center"/>
              <w:rPr>
                <w:sz w:val="20"/>
                <w:szCs w:val="20"/>
              </w:rPr>
            </w:pPr>
            <w:r w:rsidRPr="00EB7497">
              <w:rPr>
                <w:sz w:val="20"/>
                <w:szCs w:val="20"/>
              </w:rPr>
              <w:t>Развитие дополнительного образования детей в ДШИ</w:t>
            </w:r>
          </w:p>
        </w:tc>
        <w:tc>
          <w:tcPr>
            <w:tcW w:w="2976" w:type="dxa"/>
            <w:vAlign w:val="center"/>
          </w:tcPr>
          <w:p w:rsidR="00F11D7E" w:rsidRPr="00EB7497" w:rsidRDefault="00F11D7E" w:rsidP="008D391F">
            <w:pPr>
              <w:jc w:val="center"/>
              <w:rPr>
                <w:color w:val="000000"/>
                <w:sz w:val="20"/>
                <w:szCs w:val="20"/>
              </w:rPr>
            </w:pPr>
            <w:r w:rsidRPr="00EB7497">
              <w:rPr>
                <w:color w:val="000000"/>
                <w:sz w:val="20"/>
                <w:szCs w:val="20"/>
              </w:rPr>
              <w:t>Доля детей получающих услуги в учреждении дополнительного образования</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7</w:t>
            </w:r>
          </w:p>
        </w:tc>
        <w:tc>
          <w:tcPr>
            <w:tcW w:w="1134" w:type="dxa"/>
          </w:tcPr>
          <w:p w:rsidR="00F11D7E" w:rsidRPr="00EB7497" w:rsidRDefault="00F11D7E" w:rsidP="008D391F">
            <w:pPr>
              <w:jc w:val="center"/>
              <w:rPr>
                <w:sz w:val="20"/>
                <w:szCs w:val="20"/>
              </w:rPr>
            </w:pPr>
            <w:r w:rsidRPr="00EB7497">
              <w:rPr>
                <w:sz w:val="20"/>
                <w:szCs w:val="20"/>
              </w:rPr>
              <w:t>7</w:t>
            </w:r>
          </w:p>
        </w:tc>
        <w:tc>
          <w:tcPr>
            <w:tcW w:w="993" w:type="dxa"/>
          </w:tcPr>
          <w:p w:rsidR="00F11D7E" w:rsidRPr="00EB7497" w:rsidRDefault="00F11D7E" w:rsidP="008D391F">
            <w:pPr>
              <w:jc w:val="center"/>
              <w:rPr>
                <w:color w:val="000000"/>
                <w:sz w:val="20"/>
                <w:szCs w:val="20"/>
              </w:rPr>
            </w:pPr>
            <w:r w:rsidRPr="00EB7497">
              <w:rPr>
                <w:color w:val="000000"/>
                <w:sz w:val="20"/>
                <w:szCs w:val="20"/>
              </w:rPr>
              <w:t>0</w:t>
            </w:r>
          </w:p>
        </w:tc>
        <w:tc>
          <w:tcPr>
            <w:tcW w:w="4392" w:type="dxa"/>
          </w:tcPr>
          <w:p w:rsidR="00F11D7E" w:rsidRPr="00EB7497" w:rsidRDefault="00F11D7E" w:rsidP="00154BDC">
            <w:pPr>
              <w:autoSpaceDE w:val="0"/>
              <w:autoSpaceDN w:val="0"/>
              <w:adjustRightInd w:val="0"/>
              <w:jc w:val="center"/>
              <w:outlineLvl w:val="1"/>
              <w:rPr>
                <w:sz w:val="20"/>
                <w:szCs w:val="20"/>
              </w:rPr>
            </w:pPr>
          </w:p>
        </w:tc>
      </w:tr>
      <w:tr w:rsidR="00F11D7E" w:rsidRPr="00646318" w:rsidTr="00646318">
        <w:tc>
          <w:tcPr>
            <w:tcW w:w="510"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4</w:t>
            </w:r>
          </w:p>
        </w:tc>
        <w:tc>
          <w:tcPr>
            <w:tcW w:w="3891" w:type="dxa"/>
          </w:tcPr>
          <w:p w:rsidR="00F11D7E" w:rsidRPr="00EB7497" w:rsidRDefault="00F11D7E" w:rsidP="008D391F">
            <w:pPr>
              <w:jc w:val="center"/>
              <w:rPr>
                <w:sz w:val="20"/>
                <w:szCs w:val="20"/>
              </w:rPr>
            </w:pPr>
            <w:r w:rsidRPr="00EB7497">
              <w:rPr>
                <w:sz w:val="20"/>
                <w:szCs w:val="20"/>
              </w:rPr>
              <w:t>Сохранение и популяризация объектов культурного наследия</w:t>
            </w:r>
          </w:p>
        </w:tc>
        <w:tc>
          <w:tcPr>
            <w:tcW w:w="2976" w:type="dxa"/>
          </w:tcPr>
          <w:p w:rsidR="00F11D7E" w:rsidRPr="00EB7497" w:rsidRDefault="00F11D7E" w:rsidP="008D391F">
            <w:pPr>
              <w:jc w:val="center"/>
              <w:rPr>
                <w:sz w:val="20"/>
                <w:szCs w:val="20"/>
              </w:rPr>
            </w:pPr>
            <w:r w:rsidRPr="00EB7497">
              <w:rPr>
                <w:sz w:val="20"/>
                <w:szCs w:val="20"/>
              </w:rPr>
              <w:t>Доля экспонируемых предметов от общего числа музейных предметов</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82</w:t>
            </w:r>
          </w:p>
        </w:tc>
        <w:tc>
          <w:tcPr>
            <w:tcW w:w="1134" w:type="dxa"/>
          </w:tcPr>
          <w:p w:rsidR="00F11D7E" w:rsidRPr="00EB7497" w:rsidRDefault="00F11D7E" w:rsidP="008D391F">
            <w:pPr>
              <w:jc w:val="center"/>
              <w:rPr>
                <w:color w:val="000000"/>
                <w:sz w:val="20"/>
                <w:szCs w:val="20"/>
              </w:rPr>
            </w:pPr>
            <w:r w:rsidRPr="00EB7497">
              <w:rPr>
                <w:color w:val="000000"/>
                <w:sz w:val="20"/>
                <w:szCs w:val="20"/>
              </w:rPr>
              <w:t>62,9</w:t>
            </w:r>
          </w:p>
        </w:tc>
        <w:tc>
          <w:tcPr>
            <w:tcW w:w="993" w:type="dxa"/>
          </w:tcPr>
          <w:p w:rsidR="00F11D7E" w:rsidRPr="00EB7497" w:rsidRDefault="00F11D7E" w:rsidP="008D391F">
            <w:pPr>
              <w:jc w:val="center"/>
              <w:rPr>
                <w:color w:val="000000"/>
                <w:sz w:val="20"/>
                <w:szCs w:val="20"/>
              </w:rPr>
            </w:pPr>
            <w:r w:rsidRPr="00EB7497">
              <w:rPr>
                <w:color w:val="000000"/>
                <w:sz w:val="20"/>
                <w:szCs w:val="20"/>
              </w:rPr>
              <w:t>-19,1</w:t>
            </w:r>
          </w:p>
        </w:tc>
        <w:tc>
          <w:tcPr>
            <w:tcW w:w="4392" w:type="dxa"/>
          </w:tcPr>
          <w:p w:rsidR="00F11D7E" w:rsidRPr="00EB7497" w:rsidRDefault="00F11D7E" w:rsidP="00154BDC">
            <w:pPr>
              <w:shd w:val="clear" w:color="auto" w:fill="FFFFFF"/>
              <w:jc w:val="center"/>
              <w:rPr>
                <w:color w:val="2C2D2E"/>
                <w:sz w:val="20"/>
                <w:szCs w:val="20"/>
              </w:rPr>
            </w:pPr>
            <w:r w:rsidRPr="00EB7497">
              <w:rPr>
                <w:sz w:val="20"/>
                <w:szCs w:val="20"/>
              </w:rPr>
              <w:t>Показатель доли экспонируемых музейных предметов не выполнен. Здание музея имеет малую  выставочную площадь (часть которой занимают постоянно действующие выставки), поэтому количество экспонируемых предметов ограничено. Многие экспонаты не подлежат транспортировке, поэтому не могут демонстрироваться на нестационарных выставках.</w:t>
            </w:r>
          </w:p>
        </w:tc>
      </w:tr>
      <w:tr w:rsidR="00F11D7E" w:rsidRPr="00646318" w:rsidTr="00646318">
        <w:tc>
          <w:tcPr>
            <w:tcW w:w="510"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5</w:t>
            </w:r>
          </w:p>
        </w:tc>
        <w:tc>
          <w:tcPr>
            <w:tcW w:w="3891" w:type="dxa"/>
          </w:tcPr>
          <w:p w:rsidR="00F11D7E" w:rsidRPr="00EB7497" w:rsidRDefault="00F11D7E" w:rsidP="008D391F">
            <w:pPr>
              <w:jc w:val="center"/>
              <w:rPr>
                <w:sz w:val="20"/>
                <w:szCs w:val="20"/>
              </w:rPr>
            </w:pPr>
            <w:r w:rsidRPr="00EB7497">
              <w:rPr>
                <w:sz w:val="20"/>
                <w:szCs w:val="20"/>
              </w:rPr>
              <w:t>Финансово-экономическое и хозяйственное обеспечение учреждений в сфере культуры</w:t>
            </w:r>
          </w:p>
        </w:tc>
        <w:tc>
          <w:tcPr>
            <w:tcW w:w="2976" w:type="dxa"/>
          </w:tcPr>
          <w:p w:rsidR="00F11D7E" w:rsidRPr="00EB7497" w:rsidRDefault="00F11D7E" w:rsidP="008D391F">
            <w:pPr>
              <w:jc w:val="center"/>
              <w:rPr>
                <w:sz w:val="20"/>
                <w:szCs w:val="20"/>
              </w:rPr>
            </w:pPr>
            <w:r w:rsidRPr="00EB7497">
              <w:rPr>
                <w:sz w:val="20"/>
                <w:szCs w:val="20"/>
              </w:rPr>
              <w:t>Доля юридических лиц, охваченных финансово-экономическим и хозяйственным обеспечением муниципальных учреждений культуры, в общем количестве юридических лиц в сфере культуры</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100</w:t>
            </w:r>
          </w:p>
        </w:tc>
        <w:tc>
          <w:tcPr>
            <w:tcW w:w="1134" w:type="dxa"/>
          </w:tcPr>
          <w:p w:rsidR="00F11D7E" w:rsidRPr="00EB7497" w:rsidRDefault="00F11D7E" w:rsidP="008D391F">
            <w:pPr>
              <w:jc w:val="center"/>
              <w:rPr>
                <w:color w:val="000000"/>
                <w:sz w:val="20"/>
                <w:szCs w:val="20"/>
              </w:rPr>
            </w:pPr>
            <w:r w:rsidRPr="00EB7497">
              <w:rPr>
                <w:color w:val="000000"/>
                <w:sz w:val="20"/>
                <w:szCs w:val="20"/>
              </w:rPr>
              <w:t>100</w:t>
            </w:r>
          </w:p>
        </w:tc>
        <w:tc>
          <w:tcPr>
            <w:tcW w:w="993" w:type="dxa"/>
          </w:tcPr>
          <w:p w:rsidR="00F11D7E" w:rsidRPr="00EB7497" w:rsidRDefault="00F11D7E" w:rsidP="008D391F">
            <w:pPr>
              <w:jc w:val="center"/>
              <w:rPr>
                <w:color w:val="000000"/>
                <w:sz w:val="20"/>
                <w:szCs w:val="20"/>
              </w:rPr>
            </w:pPr>
            <w:r w:rsidRPr="00EB7497">
              <w:rPr>
                <w:color w:val="000000"/>
                <w:sz w:val="20"/>
                <w:szCs w:val="20"/>
              </w:rPr>
              <w:t>0</w:t>
            </w:r>
          </w:p>
        </w:tc>
        <w:tc>
          <w:tcPr>
            <w:tcW w:w="4392" w:type="dxa"/>
          </w:tcPr>
          <w:p w:rsidR="00F11D7E" w:rsidRPr="00EB7497" w:rsidRDefault="00F11D7E" w:rsidP="00646318">
            <w:pPr>
              <w:autoSpaceDE w:val="0"/>
              <w:autoSpaceDN w:val="0"/>
              <w:adjustRightInd w:val="0"/>
              <w:outlineLvl w:val="1"/>
              <w:rPr>
                <w:sz w:val="20"/>
                <w:szCs w:val="20"/>
              </w:rPr>
            </w:pPr>
          </w:p>
        </w:tc>
      </w:tr>
      <w:tr w:rsidR="00F11D7E" w:rsidRPr="00646318" w:rsidTr="00646318">
        <w:tc>
          <w:tcPr>
            <w:tcW w:w="510"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6</w:t>
            </w:r>
          </w:p>
        </w:tc>
        <w:tc>
          <w:tcPr>
            <w:tcW w:w="3891" w:type="dxa"/>
          </w:tcPr>
          <w:p w:rsidR="00F11D7E" w:rsidRPr="00EB7497" w:rsidRDefault="00F11D7E" w:rsidP="008D391F">
            <w:pPr>
              <w:jc w:val="center"/>
              <w:rPr>
                <w:sz w:val="20"/>
                <w:szCs w:val="20"/>
              </w:rPr>
            </w:pPr>
            <w:r w:rsidRPr="00EB7497">
              <w:rPr>
                <w:sz w:val="20"/>
                <w:szCs w:val="20"/>
              </w:rPr>
              <w:t>Осуществление управления в сфере культуры</w:t>
            </w:r>
          </w:p>
        </w:tc>
        <w:tc>
          <w:tcPr>
            <w:tcW w:w="2976" w:type="dxa"/>
          </w:tcPr>
          <w:p w:rsidR="00F11D7E" w:rsidRPr="00EB7497" w:rsidRDefault="00F11D7E" w:rsidP="008D391F">
            <w:pPr>
              <w:jc w:val="center"/>
              <w:rPr>
                <w:sz w:val="20"/>
                <w:szCs w:val="20"/>
              </w:rPr>
            </w:pPr>
            <w:r w:rsidRPr="00EB7497">
              <w:rPr>
                <w:sz w:val="20"/>
                <w:szCs w:val="20"/>
              </w:rPr>
              <w:t>Количество руководителей и специалистов учреждений культуры, получающих в отчетном году профильное образование</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993"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4392" w:type="dxa"/>
          </w:tcPr>
          <w:p w:rsidR="00F11D7E" w:rsidRPr="00EB7497" w:rsidRDefault="00F11D7E" w:rsidP="00154BDC">
            <w:pPr>
              <w:autoSpaceDE w:val="0"/>
              <w:autoSpaceDN w:val="0"/>
              <w:adjustRightInd w:val="0"/>
              <w:jc w:val="center"/>
              <w:outlineLvl w:val="1"/>
              <w:rPr>
                <w:sz w:val="20"/>
                <w:szCs w:val="20"/>
              </w:rPr>
            </w:pPr>
          </w:p>
        </w:tc>
      </w:tr>
      <w:tr w:rsidR="00F11D7E" w:rsidRPr="00646318" w:rsidTr="00646318">
        <w:tc>
          <w:tcPr>
            <w:tcW w:w="510"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7</w:t>
            </w:r>
          </w:p>
        </w:tc>
        <w:tc>
          <w:tcPr>
            <w:tcW w:w="3891" w:type="dxa"/>
          </w:tcPr>
          <w:p w:rsidR="00F11D7E" w:rsidRPr="00EB7497" w:rsidRDefault="00F11D7E" w:rsidP="008D391F">
            <w:pPr>
              <w:jc w:val="center"/>
              <w:rPr>
                <w:sz w:val="20"/>
                <w:szCs w:val="20"/>
              </w:rPr>
            </w:pPr>
            <w:r w:rsidRPr="00EB7497">
              <w:rPr>
                <w:sz w:val="20"/>
                <w:szCs w:val="20"/>
              </w:rPr>
              <w:t>Создание условий развития сферы туризма и туристской деятельности</w:t>
            </w:r>
          </w:p>
        </w:tc>
        <w:tc>
          <w:tcPr>
            <w:tcW w:w="2976" w:type="dxa"/>
          </w:tcPr>
          <w:p w:rsidR="00F11D7E" w:rsidRPr="00EB7497" w:rsidRDefault="00F11D7E" w:rsidP="008D391F">
            <w:pPr>
              <w:jc w:val="center"/>
              <w:rPr>
                <w:sz w:val="20"/>
                <w:szCs w:val="20"/>
              </w:rPr>
            </w:pPr>
            <w:r w:rsidRPr="00EB7497">
              <w:rPr>
                <w:sz w:val="20"/>
                <w:szCs w:val="20"/>
              </w:rPr>
              <w:t>Количество разработанных  туристических и экскурсионных маршрутов в Одесском  муниципальном районе Омской области для различных категорий населения</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993"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4392" w:type="dxa"/>
          </w:tcPr>
          <w:p w:rsidR="00F11D7E" w:rsidRPr="00EB7497" w:rsidRDefault="00F11D7E" w:rsidP="00154BDC">
            <w:pPr>
              <w:autoSpaceDE w:val="0"/>
              <w:autoSpaceDN w:val="0"/>
              <w:adjustRightInd w:val="0"/>
              <w:jc w:val="center"/>
              <w:outlineLvl w:val="1"/>
              <w:rPr>
                <w:sz w:val="20"/>
                <w:szCs w:val="20"/>
              </w:rPr>
            </w:pPr>
          </w:p>
        </w:tc>
      </w:tr>
      <w:tr w:rsidR="00F11D7E" w:rsidRPr="00646318" w:rsidTr="00646318">
        <w:tc>
          <w:tcPr>
            <w:tcW w:w="510"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8</w:t>
            </w:r>
          </w:p>
        </w:tc>
        <w:tc>
          <w:tcPr>
            <w:tcW w:w="3891" w:type="dxa"/>
          </w:tcPr>
          <w:p w:rsidR="00F11D7E" w:rsidRPr="00EB7497" w:rsidRDefault="00F11D7E" w:rsidP="008D391F">
            <w:pPr>
              <w:jc w:val="center"/>
              <w:rPr>
                <w:b/>
                <w:bCs/>
                <w:sz w:val="20"/>
                <w:szCs w:val="20"/>
              </w:rPr>
            </w:pPr>
            <w:r w:rsidRPr="00EB7497">
              <w:rPr>
                <w:sz w:val="20"/>
                <w:szCs w:val="20"/>
              </w:rPr>
              <w:t xml:space="preserve">Создание благоприятных условий для  творческого развития муниципальных учреждений культуры, находящихся на </w:t>
            </w:r>
            <w:r w:rsidRPr="00EB7497">
              <w:rPr>
                <w:sz w:val="20"/>
                <w:szCs w:val="20"/>
              </w:rPr>
              <w:lastRenderedPageBreak/>
              <w:t>территориях сельских поселений Омской области, и их работников</w:t>
            </w:r>
          </w:p>
        </w:tc>
        <w:tc>
          <w:tcPr>
            <w:tcW w:w="2976" w:type="dxa"/>
          </w:tcPr>
          <w:p w:rsidR="00F11D7E" w:rsidRPr="00EB7497" w:rsidRDefault="00F11D7E" w:rsidP="008D391F">
            <w:pPr>
              <w:jc w:val="center"/>
              <w:rPr>
                <w:sz w:val="20"/>
                <w:szCs w:val="20"/>
              </w:rPr>
            </w:pPr>
            <w:r w:rsidRPr="00EB7497">
              <w:rPr>
                <w:sz w:val="20"/>
                <w:szCs w:val="20"/>
              </w:rPr>
              <w:lastRenderedPageBreak/>
              <w:t xml:space="preserve">Количество посещений муниципальных учреждений культуры по отношению к </w:t>
            </w:r>
            <w:r w:rsidRPr="00EB7497">
              <w:rPr>
                <w:sz w:val="20"/>
                <w:szCs w:val="20"/>
              </w:rPr>
              <w:lastRenderedPageBreak/>
              <w:t xml:space="preserve">уровню 2019 </w:t>
            </w:r>
            <w:proofErr w:type="spellStart"/>
            <w:r w:rsidRPr="00EB7497">
              <w:rPr>
                <w:sz w:val="20"/>
                <w:szCs w:val="20"/>
              </w:rPr>
              <w:t>г.</w:t>
            </w:r>
            <w:proofErr w:type="gramStart"/>
            <w:r w:rsidRPr="00EB7497">
              <w:rPr>
                <w:sz w:val="20"/>
                <w:szCs w:val="20"/>
              </w:rPr>
              <w:t>,п</w:t>
            </w:r>
            <w:proofErr w:type="gramEnd"/>
            <w:r w:rsidRPr="00EB7497">
              <w:rPr>
                <w:sz w:val="20"/>
                <w:szCs w:val="20"/>
              </w:rPr>
              <w:t>роценты</w:t>
            </w:r>
            <w:proofErr w:type="spellEnd"/>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lastRenderedPageBreak/>
              <w:t>106</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113</w:t>
            </w:r>
          </w:p>
        </w:tc>
        <w:tc>
          <w:tcPr>
            <w:tcW w:w="993"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7</w:t>
            </w:r>
          </w:p>
        </w:tc>
        <w:tc>
          <w:tcPr>
            <w:tcW w:w="4392" w:type="dxa"/>
          </w:tcPr>
          <w:p w:rsidR="00F11D7E" w:rsidRPr="00EB7497" w:rsidRDefault="00F11D7E" w:rsidP="00154BDC">
            <w:pPr>
              <w:autoSpaceDE w:val="0"/>
              <w:autoSpaceDN w:val="0"/>
              <w:adjustRightInd w:val="0"/>
              <w:jc w:val="center"/>
              <w:outlineLvl w:val="1"/>
              <w:rPr>
                <w:sz w:val="20"/>
                <w:szCs w:val="20"/>
              </w:rPr>
            </w:pPr>
          </w:p>
        </w:tc>
      </w:tr>
      <w:tr w:rsidR="00F11D7E" w:rsidRPr="00646318" w:rsidTr="00646318">
        <w:tc>
          <w:tcPr>
            <w:tcW w:w="510"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lastRenderedPageBreak/>
              <w:t>9</w:t>
            </w:r>
          </w:p>
        </w:tc>
        <w:tc>
          <w:tcPr>
            <w:tcW w:w="3891" w:type="dxa"/>
          </w:tcPr>
          <w:p w:rsidR="00F11D7E" w:rsidRPr="00EB7497" w:rsidRDefault="00F11D7E" w:rsidP="008D391F">
            <w:pPr>
              <w:jc w:val="center"/>
              <w:rPr>
                <w:b/>
                <w:bCs/>
                <w:sz w:val="20"/>
                <w:szCs w:val="20"/>
              </w:rPr>
            </w:pPr>
            <w:r w:rsidRPr="00EB7497">
              <w:rPr>
                <w:sz w:val="20"/>
                <w:szCs w:val="20"/>
              </w:rPr>
              <w:t>Создание благоприятных условий для  реализации подпрограммы "Искусство", в рамках государственной программы Российской Федерации "Развитие культуры" (Культурная среда)</w:t>
            </w:r>
          </w:p>
        </w:tc>
        <w:tc>
          <w:tcPr>
            <w:tcW w:w="2976" w:type="dxa"/>
          </w:tcPr>
          <w:p w:rsidR="00F11D7E" w:rsidRPr="00EB7497" w:rsidRDefault="00F11D7E" w:rsidP="008D391F">
            <w:pPr>
              <w:jc w:val="center"/>
              <w:rPr>
                <w:sz w:val="20"/>
                <w:szCs w:val="20"/>
              </w:rPr>
            </w:pPr>
            <w:r w:rsidRPr="00EB7497">
              <w:rPr>
                <w:sz w:val="20"/>
                <w:szCs w:val="20"/>
              </w:rPr>
              <w:t>Количество мероприятий реализованных в рамках  подпрограммы "Искусство", в рамках государственной программы Российской Федерации "Развитие культуры" (Культурная среда), единицы</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993"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4392" w:type="dxa"/>
          </w:tcPr>
          <w:p w:rsidR="00F11D7E" w:rsidRPr="00EB7497" w:rsidRDefault="00F11D7E" w:rsidP="00154BDC">
            <w:pPr>
              <w:autoSpaceDE w:val="0"/>
              <w:autoSpaceDN w:val="0"/>
              <w:adjustRightInd w:val="0"/>
              <w:jc w:val="center"/>
              <w:outlineLvl w:val="1"/>
              <w:rPr>
                <w:sz w:val="20"/>
                <w:szCs w:val="20"/>
              </w:rPr>
            </w:pPr>
          </w:p>
        </w:tc>
      </w:tr>
      <w:tr w:rsidR="00F11D7E" w:rsidRPr="00646318" w:rsidTr="00646318">
        <w:tc>
          <w:tcPr>
            <w:tcW w:w="510"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9.1.1</w:t>
            </w:r>
          </w:p>
        </w:tc>
        <w:tc>
          <w:tcPr>
            <w:tcW w:w="3891" w:type="dxa"/>
          </w:tcPr>
          <w:p w:rsidR="00F11D7E" w:rsidRPr="00EB7497" w:rsidRDefault="00F11D7E" w:rsidP="008D391F">
            <w:pPr>
              <w:jc w:val="center"/>
              <w:rPr>
                <w:b/>
                <w:bCs/>
                <w:sz w:val="20"/>
                <w:szCs w:val="20"/>
              </w:rPr>
            </w:pPr>
            <w:r w:rsidRPr="00EB7497">
              <w:rPr>
                <w:sz w:val="20"/>
                <w:szCs w:val="20"/>
              </w:rPr>
              <w:t>Государственная поддержка отрасли культуры (</w:t>
            </w:r>
            <w:proofErr w:type="spellStart"/>
            <w:r w:rsidRPr="00EB7497">
              <w:rPr>
                <w:sz w:val="20"/>
                <w:szCs w:val="20"/>
              </w:rPr>
              <w:t>софинансирование</w:t>
            </w:r>
            <w:proofErr w:type="spellEnd"/>
            <w:r w:rsidRPr="00EB7497">
              <w:rPr>
                <w:sz w:val="20"/>
                <w:szCs w:val="20"/>
              </w:rPr>
              <w:t xml:space="preserve"> расходов на модернизацию путем капитального ремонта муниципальных детских школ искусств по видам искусств)</w:t>
            </w:r>
          </w:p>
        </w:tc>
        <w:tc>
          <w:tcPr>
            <w:tcW w:w="2976" w:type="dxa"/>
          </w:tcPr>
          <w:p w:rsidR="00F11D7E" w:rsidRPr="00EB7497" w:rsidRDefault="00F11D7E" w:rsidP="008D391F">
            <w:pPr>
              <w:jc w:val="center"/>
              <w:rPr>
                <w:sz w:val="20"/>
                <w:szCs w:val="20"/>
              </w:rPr>
            </w:pPr>
            <w:r w:rsidRPr="00EB7497">
              <w:rPr>
                <w:sz w:val="20"/>
                <w:szCs w:val="20"/>
              </w:rPr>
              <w:t>Количество реконструированных (или) капитально отремонтированных  региональных и муниципальных детских школ искусств по видам искусств, единицы</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993"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4392" w:type="dxa"/>
          </w:tcPr>
          <w:p w:rsidR="00F11D7E" w:rsidRPr="00EB7497" w:rsidRDefault="00F11D7E" w:rsidP="00154BDC">
            <w:pPr>
              <w:autoSpaceDE w:val="0"/>
              <w:autoSpaceDN w:val="0"/>
              <w:adjustRightInd w:val="0"/>
              <w:jc w:val="center"/>
              <w:outlineLvl w:val="1"/>
              <w:rPr>
                <w:sz w:val="20"/>
                <w:szCs w:val="20"/>
              </w:rPr>
            </w:pPr>
          </w:p>
        </w:tc>
      </w:tr>
      <w:tr w:rsidR="00F11D7E" w:rsidRPr="00646318" w:rsidTr="00646318">
        <w:tc>
          <w:tcPr>
            <w:tcW w:w="510"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9.1.2</w:t>
            </w:r>
          </w:p>
        </w:tc>
        <w:tc>
          <w:tcPr>
            <w:tcW w:w="3891" w:type="dxa"/>
          </w:tcPr>
          <w:p w:rsidR="00F11D7E" w:rsidRPr="00EB7497" w:rsidRDefault="00F11D7E" w:rsidP="008D391F">
            <w:pPr>
              <w:jc w:val="center"/>
              <w:rPr>
                <w:b/>
                <w:bCs/>
                <w:sz w:val="20"/>
                <w:szCs w:val="20"/>
              </w:rPr>
            </w:pPr>
            <w:r w:rsidRPr="00EB7497">
              <w:rPr>
                <w:sz w:val="20"/>
                <w:szCs w:val="20"/>
              </w:rPr>
              <w:t>Государственная поддержка отрасли культуры (обеспечение учреждений культуры специализированным автотранспортом для обслуживания населения, в том числе сельского населения</w:t>
            </w:r>
            <w:proofErr w:type="gramStart"/>
            <w:r w:rsidRPr="00EB7497">
              <w:rPr>
                <w:sz w:val="20"/>
                <w:szCs w:val="20"/>
              </w:rPr>
              <w:t xml:space="preserve"> )</w:t>
            </w:r>
            <w:proofErr w:type="gramEnd"/>
          </w:p>
        </w:tc>
        <w:tc>
          <w:tcPr>
            <w:tcW w:w="2976" w:type="dxa"/>
          </w:tcPr>
          <w:p w:rsidR="00F11D7E" w:rsidRPr="00EB7497" w:rsidRDefault="00F11D7E" w:rsidP="008D391F">
            <w:pPr>
              <w:jc w:val="center"/>
              <w:rPr>
                <w:sz w:val="20"/>
                <w:szCs w:val="20"/>
              </w:rPr>
            </w:pPr>
            <w:r w:rsidRPr="00EB7497">
              <w:rPr>
                <w:sz w:val="20"/>
                <w:szCs w:val="20"/>
              </w:rPr>
              <w:t>Количество приобретенных многофункциональных культурных центров (автоклубов ) для обслуживания сельского населения субъектов Российской Федерации</w:t>
            </w:r>
            <w:proofErr w:type="gramStart"/>
            <w:r w:rsidRPr="00EB7497">
              <w:rPr>
                <w:sz w:val="20"/>
                <w:szCs w:val="20"/>
              </w:rPr>
              <w:t xml:space="preserve"> ,</w:t>
            </w:r>
            <w:proofErr w:type="gramEnd"/>
            <w:r w:rsidRPr="00EB7497">
              <w:rPr>
                <w:sz w:val="20"/>
                <w:szCs w:val="20"/>
              </w:rPr>
              <w:t xml:space="preserve"> единицы</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993"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4392" w:type="dxa"/>
          </w:tcPr>
          <w:p w:rsidR="00F11D7E" w:rsidRPr="00EB7497" w:rsidRDefault="00F11D7E" w:rsidP="00154BDC">
            <w:pPr>
              <w:autoSpaceDE w:val="0"/>
              <w:autoSpaceDN w:val="0"/>
              <w:adjustRightInd w:val="0"/>
              <w:jc w:val="center"/>
              <w:outlineLvl w:val="1"/>
              <w:rPr>
                <w:sz w:val="20"/>
                <w:szCs w:val="20"/>
              </w:rPr>
            </w:pPr>
          </w:p>
        </w:tc>
      </w:tr>
      <w:tr w:rsidR="00F11D7E" w:rsidRPr="00646318" w:rsidTr="00646318">
        <w:tc>
          <w:tcPr>
            <w:tcW w:w="510"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10</w:t>
            </w:r>
          </w:p>
        </w:tc>
        <w:tc>
          <w:tcPr>
            <w:tcW w:w="3891" w:type="dxa"/>
          </w:tcPr>
          <w:p w:rsidR="00F11D7E" w:rsidRPr="00EB7497" w:rsidRDefault="00F11D7E" w:rsidP="008D391F">
            <w:pPr>
              <w:jc w:val="center"/>
              <w:rPr>
                <w:b/>
                <w:bCs/>
                <w:sz w:val="20"/>
                <w:szCs w:val="20"/>
              </w:rPr>
            </w:pPr>
            <w:r w:rsidRPr="00EB7497">
              <w:rPr>
                <w:sz w:val="20"/>
                <w:szCs w:val="20"/>
              </w:rPr>
              <w:t>Создание благоприятных условий для  реализации подпрограммы "Искусство", в рамках государственной программы Российской Федерации "Развитие культуры" (Творческие люди)</w:t>
            </w:r>
          </w:p>
        </w:tc>
        <w:tc>
          <w:tcPr>
            <w:tcW w:w="2976" w:type="dxa"/>
          </w:tcPr>
          <w:p w:rsidR="00F11D7E" w:rsidRPr="00EB7497" w:rsidRDefault="00F11D7E" w:rsidP="008D391F">
            <w:pPr>
              <w:jc w:val="center"/>
              <w:rPr>
                <w:sz w:val="20"/>
                <w:szCs w:val="20"/>
              </w:rPr>
            </w:pPr>
            <w:r w:rsidRPr="00EB7497">
              <w:rPr>
                <w:sz w:val="20"/>
                <w:szCs w:val="20"/>
              </w:rPr>
              <w:t>Количество посещений  мероприятий реализованных в рамках  подпрограммы "Искусство", в рамках государственной программы Российской Федерации "Развитие культуры" (Творческие люди) к уровню 2019 г.,</w:t>
            </w:r>
            <w:r w:rsidR="00646318" w:rsidRPr="00EB7497">
              <w:rPr>
                <w:sz w:val="20"/>
                <w:szCs w:val="20"/>
              </w:rPr>
              <w:t xml:space="preserve"> </w:t>
            </w:r>
            <w:r w:rsidRPr="00EB7497">
              <w:rPr>
                <w:sz w:val="20"/>
                <w:szCs w:val="20"/>
              </w:rPr>
              <w:t>проценты</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231</w:t>
            </w:r>
          </w:p>
        </w:tc>
        <w:tc>
          <w:tcPr>
            <w:tcW w:w="993"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231</w:t>
            </w:r>
          </w:p>
        </w:tc>
        <w:tc>
          <w:tcPr>
            <w:tcW w:w="4392" w:type="dxa"/>
          </w:tcPr>
          <w:p w:rsidR="00F11D7E" w:rsidRPr="00EB7497" w:rsidRDefault="00F11D7E" w:rsidP="00154BDC">
            <w:pPr>
              <w:autoSpaceDE w:val="0"/>
              <w:autoSpaceDN w:val="0"/>
              <w:adjustRightInd w:val="0"/>
              <w:jc w:val="center"/>
              <w:outlineLvl w:val="1"/>
              <w:rPr>
                <w:sz w:val="20"/>
                <w:szCs w:val="20"/>
              </w:rPr>
            </w:pPr>
          </w:p>
        </w:tc>
      </w:tr>
      <w:tr w:rsidR="00F11D7E" w:rsidRPr="00646318" w:rsidTr="00646318">
        <w:tc>
          <w:tcPr>
            <w:tcW w:w="510"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10. 1.1</w:t>
            </w:r>
          </w:p>
        </w:tc>
        <w:tc>
          <w:tcPr>
            <w:tcW w:w="3891" w:type="dxa"/>
          </w:tcPr>
          <w:p w:rsidR="00F11D7E" w:rsidRPr="00EB7497" w:rsidRDefault="00F11D7E" w:rsidP="008D391F">
            <w:pPr>
              <w:jc w:val="center"/>
              <w:rPr>
                <w:bCs/>
                <w:sz w:val="20"/>
                <w:szCs w:val="20"/>
              </w:rPr>
            </w:pPr>
            <w:r w:rsidRPr="00EB7497">
              <w:rPr>
                <w:bCs/>
                <w:sz w:val="20"/>
                <w:szCs w:val="20"/>
              </w:rPr>
              <w:t>Государственная поддержка отрасли культуры (выплата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roofErr w:type="gramStart"/>
            <w:r w:rsidRPr="00EB7497">
              <w:rPr>
                <w:bCs/>
                <w:sz w:val="20"/>
                <w:szCs w:val="20"/>
              </w:rPr>
              <w:t xml:space="preserve"> )</w:t>
            </w:r>
            <w:proofErr w:type="gramEnd"/>
          </w:p>
        </w:tc>
        <w:tc>
          <w:tcPr>
            <w:tcW w:w="2976" w:type="dxa"/>
          </w:tcPr>
          <w:p w:rsidR="00F11D7E" w:rsidRPr="00EB7497" w:rsidRDefault="00F11D7E" w:rsidP="008D391F">
            <w:pPr>
              <w:jc w:val="center"/>
              <w:rPr>
                <w:sz w:val="20"/>
                <w:szCs w:val="20"/>
              </w:rPr>
            </w:pPr>
            <w:r w:rsidRPr="00EB7497">
              <w:rPr>
                <w:sz w:val="20"/>
                <w:szCs w:val="20"/>
              </w:rPr>
              <w:t>Количество  посещений учреждений  клубной системы,  получивших государственную поддержку (выплату денежного поощрения  лучшим муниципальным учреждениям культуры, находящимся на территориях сельских поселений Омской области, и их работникам) к уровню 2019 г</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0</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116</w:t>
            </w:r>
          </w:p>
        </w:tc>
        <w:tc>
          <w:tcPr>
            <w:tcW w:w="993"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116</w:t>
            </w:r>
          </w:p>
        </w:tc>
        <w:tc>
          <w:tcPr>
            <w:tcW w:w="4392" w:type="dxa"/>
          </w:tcPr>
          <w:p w:rsidR="00F11D7E" w:rsidRPr="00EB7497" w:rsidRDefault="00F11D7E" w:rsidP="00154BDC">
            <w:pPr>
              <w:autoSpaceDE w:val="0"/>
              <w:autoSpaceDN w:val="0"/>
              <w:adjustRightInd w:val="0"/>
              <w:jc w:val="center"/>
              <w:outlineLvl w:val="1"/>
              <w:rPr>
                <w:sz w:val="20"/>
                <w:szCs w:val="20"/>
              </w:rPr>
            </w:pPr>
          </w:p>
        </w:tc>
      </w:tr>
      <w:tr w:rsidR="00F11D7E" w:rsidRPr="00646318" w:rsidTr="00646318">
        <w:tc>
          <w:tcPr>
            <w:tcW w:w="510" w:type="dxa"/>
          </w:tcPr>
          <w:p w:rsidR="00F11D7E" w:rsidRPr="00EB7497" w:rsidRDefault="00F11D7E" w:rsidP="0074076F">
            <w:pPr>
              <w:autoSpaceDE w:val="0"/>
              <w:autoSpaceDN w:val="0"/>
              <w:adjustRightInd w:val="0"/>
              <w:jc w:val="center"/>
              <w:outlineLvl w:val="1"/>
              <w:rPr>
                <w:sz w:val="20"/>
                <w:szCs w:val="20"/>
              </w:rPr>
            </w:pPr>
          </w:p>
        </w:tc>
        <w:tc>
          <w:tcPr>
            <w:tcW w:w="3891" w:type="dxa"/>
          </w:tcPr>
          <w:p w:rsidR="00F11D7E" w:rsidRPr="00EB7497" w:rsidRDefault="00F11D7E" w:rsidP="008D391F">
            <w:pPr>
              <w:jc w:val="center"/>
              <w:rPr>
                <w:b/>
                <w:bCs/>
                <w:sz w:val="20"/>
                <w:szCs w:val="20"/>
              </w:rPr>
            </w:pPr>
          </w:p>
        </w:tc>
        <w:tc>
          <w:tcPr>
            <w:tcW w:w="2976" w:type="dxa"/>
          </w:tcPr>
          <w:p w:rsidR="00F11D7E" w:rsidRPr="00EB7497" w:rsidRDefault="00F11D7E" w:rsidP="008D391F">
            <w:pPr>
              <w:jc w:val="center"/>
              <w:rPr>
                <w:sz w:val="20"/>
                <w:szCs w:val="20"/>
              </w:rPr>
            </w:pPr>
            <w:r w:rsidRPr="00EB7497">
              <w:rPr>
                <w:sz w:val="20"/>
                <w:szCs w:val="20"/>
              </w:rPr>
              <w:t>Количество  посещений  учреждений библиотечной системы</w:t>
            </w:r>
            <w:proofErr w:type="gramStart"/>
            <w:r w:rsidRPr="00EB7497">
              <w:rPr>
                <w:sz w:val="20"/>
                <w:szCs w:val="20"/>
              </w:rPr>
              <w:t xml:space="preserve"> ,</w:t>
            </w:r>
            <w:proofErr w:type="gramEnd"/>
            <w:r w:rsidRPr="00EB7497">
              <w:rPr>
                <w:sz w:val="20"/>
                <w:szCs w:val="20"/>
              </w:rPr>
              <w:t xml:space="preserve">  получивших государственную поддержку </w:t>
            </w:r>
            <w:r w:rsidRPr="00EB7497">
              <w:rPr>
                <w:sz w:val="20"/>
                <w:szCs w:val="20"/>
              </w:rPr>
              <w:lastRenderedPageBreak/>
              <w:t>(выплату денежного поощрения  лучшим муниципальным учреждениям культуры, находящимся на территориях сельских поселений Омской области, и их работникам ) к уровню 2019 г.</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lastRenderedPageBreak/>
              <w:t>0</w:t>
            </w:r>
          </w:p>
        </w:tc>
        <w:tc>
          <w:tcPr>
            <w:tcW w:w="1134"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115</w:t>
            </w:r>
          </w:p>
        </w:tc>
        <w:tc>
          <w:tcPr>
            <w:tcW w:w="993" w:type="dxa"/>
          </w:tcPr>
          <w:p w:rsidR="00F11D7E" w:rsidRPr="00EB7497" w:rsidRDefault="00F11D7E" w:rsidP="008D391F">
            <w:pPr>
              <w:autoSpaceDE w:val="0"/>
              <w:autoSpaceDN w:val="0"/>
              <w:adjustRightInd w:val="0"/>
              <w:jc w:val="center"/>
              <w:outlineLvl w:val="1"/>
              <w:rPr>
                <w:sz w:val="20"/>
                <w:szCs w:val="20"/>
              </w:rPr>
            </w:pPr>
            <w:r w:rsidRPr="00EB7497">
              <w:rPr>
                <w:sz w:val="20"/>
                <w:szCs w:val="20"/>
              </w:rPr>
              <w:t>115</w:t>
            </w:r>
          </w:p>
        </w:tc>
        <w:tc>
          <w:tcPr>
            <w:tcW w:w="4392" w:type="dxa"/>
          </w:tcPr>
          <w:p w:rsidR="00F11D7E" w:rsidRPr="00EB7497" w:rsidRDefault="00F11D7E" w:rsidP="00154BDC">
            <w:pPr>
              <w:autoSpaceDE w:val="0"/>
              <w:autoSpaceDN w:val="0"/>
              <w:adjustRightInd w:val="0"/>
              <w:jc w:val="center"/>
              <w:outlineLvl w:val="1"/>
              <w:rPr>
                <w:sz w:val="20"/>
                <w:szCs w:val="20"/>
              </w:rPr>
            </w:pPr>
          </w:p>
        </w:tc>
      </w:tr>
    </w:tbl>
    <w:p w:rsidR="00FC14B9" w:rsidRPr="00646318" w:rsidRDefault="00FC14B9" w:rsidP="00FC14B9">
      <w:pPr>
        <w:autoSpaceDE w:val="0"/>
        <w:autoSpaceDN w:val="0"/>
        <w:adjustRightInd w:val="0"/>
        <w:jc w:val="both"/>
        <w:rPr>
          <w:sz w:val="24"/>
          <w:szCs w:val="24"/>
        </w:rPr>
      </w:pPr>
    </w:p>
    <w:p w:rsidR="00FC14B9" w:rsidRPr="00646318" w:rsidRDefault="00FC14B9" w:rsidP="00FC14B9">
      <w:pPr>
        <w:autoSpaceDE w:val="0"/>
        <w:autoSpaceDN w:val="0"/>
        <w:adjustRightInd w:val="0"/>
        <w:jc w:val="both"/>
        <w:rPr>
          <w:sz w:val="24"/>
          <w:szCs w:val="24"/>
        </w:rPr>
      </w:pPr>
    </w:p>
    <w:p w:rsidR="00FC14B9" w:rsidRPr="00646318" w:rsidRDefault="00FC14B9" w:rsidP="00646318">
      <w:pPr>
        <w:autoSpaceDE w:val="0"/>
        <w:autoSpaceDN w:val="0"/>
        <w:adjustRightInd w:val="0"/>
        <w:rPr>
          <w:sz w:val="24"/>
          <w:szCs w:val="24"/>
        </w:rPr>
      </w:pPr>
      <w:r w:rsidRPr="00646318">
        <w:rPr>
          <w:sz w:val="24"/>
          <w:szCs w:val="24"/>
        </w:rPr>
        <w:t xml:space="preserve">Начальник Управления </w:t>
      </w:r>
      <w:r w:rsidR="006B0031" w:rsidRPr="00646318">
        <w:rPr>
          <w:sz w:val="24"/>
          <w:szCs w:val="24"/>
        </w:rPr>
        <w:t xml:space="preserve"> </w:t>
      </w:r>
      <w:r w:rsidR="00646318">
        <w:rPr>
          <w:sz w:val="24"/>
          <w:szCs w:val="24"/>
        </w:rPr>
        <w:t xml:space="preserve">культуры     </w:t>
      </w:r>
      <w:r w:rsidRPr="00646318">
        <w:rPr>
          <w:sz w:val="24"/>
          <w:szCs w:val="24"/>
        </w:rPr>
        <w:t xml:space="preserve">                                                                                                                                    </w:t>
      </w:r>
      <w:r w:rsidR="006B0031" w:rsidRPr="00646318">
        <w:rPr>
          <w:sz w:val="24"/>
          <w:szCs w:val="24"/>
        </w:rPr>
        <w:t xml:space="preserve">                                    </w:t>
      </w:r>
      <w:r w:rsidRPr="00646318">
        <w:rPr>
          <w:sz w:val="24"/>
          <w:szCs w:val="24"/>
        </w:rPr>
        <w:t xml:space="preserve">    Т.Э. </w:t>
      </w:r>
      <w:proofErr w:type="spellStart"/>
      <w:r w:rsidRPr="00646318">
        <w:rPr>
          <w:sz w:val="24"/>
          <w:szCs w:val="24"/>
        </w:rPr>
        <w:t>Калюк</w:t>
      </w:r>
      <w:proofErr w:type="spellEnd"/>
    </w:p>
    <w:sectPr w:rsidR="00FC14B9" w:rsidRPr="00646318" w:rsidSect="00574092">
      <w:headerReference w:type="even" r:id="rId8"/>
      <w:headerReference w:type="default" r:id="rId9"/>
      <w:footerReference w:type="even" r:id="rId10"/>
      <w:pgSz w:w="16838" w:h="11906" w:orient="landscape"/>
      <w:pgMar w:top="1135" w:right="709" w:bottom="707"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DA3" w:rsidRDefault="00FA2DA3">
      <w:r>
        <w:separator/>
      </w:r>
    </w:p>
  </w:endnote>
  <w:endnote w:type="continuationSeparator" w:id="0">
    <w:p w:rsidR="00FA2DA3" w:rsidRDefault="00FA2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694" w:rsidRDefault="007B5B27" w:rsidP="002F745F">
    <w:pPr>
      <w:pStyle w:val="a6"/>
      <w:framePr w:wrap="around" w:vAnchor="text" w:hAnchor="margin" w:xAlign="right" w:y="1"/>
      <w:rPr>
        <w:rStyle w:val="a8"/>
      </w:rPr>
    </w:pPr>
    <w:r>
      <w:rPr>
        <w:rStyle w:val="a8"/>
      </w:rPr>
      <w:fldChar w:fldCharType="begin"/>
    </w:r>
    <w:r w:rsidR="00C25F0F">
      <w:rPr>
        <w:rStyle w:val="a8"/>
      </w:rPr>
      <w:instrText xml:space="preserve">PAGE  </w:instrText>
    </w:r>
    <w:r>
      <w:rPr>
        <w:rStyle w:val="a8"/>
      </w:rPr>
      <w:fldChar w:fldCharType="end"/>
    </w:r>
  </w:p>
  <w:p w:rsidR="00C32694" w:rsidRDefault="00FA2DA3" w:rsidP="002F745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DA3" w:rsidRDefault="00FA2DA3">
      <w:r>
        <w:separator/>
      </w:r>
    </w:p>
  </w:footnote>
  <w:footnote w:type="continuationSeparator" w:id="0">
    <w:p w:rsidR="00FA2DA3" w:rsidRDefault="00FA2D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694" w:rsidRDefault="007B5B27" w:rsidP="00584D69">
    <w:pPr>
      <w:pStyle w:val="a9"/>
      <w:framePr w:wrap="around" w:vAnchor="text" w:hAnchor="margin" w:xAlign="right" w:y="1"/>
      <w:rPr>
        <w:rStyle w:val="a8"/>
      </w:rPr>
    </w:pPr>
    <w:r>
      <w:rPr>
        <w:rStyle w:val="a8"/>
      </w:rPr>
      <w:fldChar w:fldCharType="begin"/>
    </w:r>
    <w:r w:rsidR="00C25F0F">
      <w:rPr>
        <w:rStyle w:val="a8"/>
      </w:rPr>
      <w:instrText xml:space="preserve">PAGE  </w:instrText>
    </w:r>
    <w:r>
      <w:rPr>
        <w:rStyle w:val="a8"/>
      </w:rPr>
      <w:fldChar w:fldCharType="end"/>
    </w:r>
  </w:p>
  <w:p w:rsidR="00C32694" w:rsidRDefault="00FA2DA3" w:rsidP="0035239C">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694" w:rsidRDefault="007B5B27">
    <w:pPr>
      <w:pStyle w:val="a9"/>
      <w:jc w:val="center"/>
    </w:pPr>
    <w:r>
      <w:fldChar w:fldCharType="begin"/>
    </w:r>
    <w:r w:rsidR="00C25F0F">
      <w:instrText xml:space="preserve"> PAGE   \* MERGEFORMAT </w:instrText>
    </w:r>
    <w:r>
      <w:fldChar w:fldCharType="separate"/>
    </w:r>
    <w:r w:rsidR="002E2A3E">
      <w:rPr>
        <w:noProof/>
      </w:rPr>
      <w:t>4</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F3A85"/>
    <w:rsid w:val="0001397F"/>
    <w:rsid w:val="000150D3"/>
    <w:rsid w:val="00024F63"/>
    <w:rsid w:val="00050F4F"/>
    <w:rsid w:val="00055F61"/>
    <w:rsid w:val="000603AA"/>
    <w:rsid w:val="00063338"/>
    <w:rsid w:val="00063A46"/>
    <w:rsid w:val="000818F1"/>
    <w:rsid w:val="000A2E31"/>
    <w:rsid w:val="000B7D11"/>
    <w:rsid w:val="000E7533"/>
    <w:rsid w:val="000F00E5"/>
    <w:rsid w:val="001029C9"/>
    <w:rsid w:val="001042C1"/>
    <w:rsid w:val="00115F08"/>
    <w:rsid w:val="00154BDC"/>
    <w:rsid w:val="00174D31"/>
    <w:rsid w:val="0018404F"/>
    <w:rsid w:val="001D2DAF"/>
    <w:rsid w:val="001E0B8A"/>
    <w:rsid w:val="001F3A85"/>
    <w:rsid w:val="002267F2"/>
    <w:rsid w:val="00262322"/>
    <w:rsid w:val="002A77DF"/>
    <w:rsid w:val="002D24FF"/>
    <w:rsid w:val="002E2A3E"/>
    <w:rsid w:val="002F0922"/>
    <w:rsid w:val="002F34F4"/>
    <w:rsid w:val="003018A6"/>
    <w:rsid w:val="00371C38"/>
    <w:rsid w:val="00391E57"/>
    <w:rsid w:val="003A67ED"/>
    <w:rsid w:val="003C3147"/>
    <w:rsid w:val="003F5D89"/>
    <w:rsid w:val="00425887"/>
    <w:rsid w:val="00461ABC"/>
    <w:rsid w:val="0046407A"/>
    <w:rsid w:val="004731E4"/>
    <w:rsid w:val="00496A20"/>
    <w:rsid w:val="004B2CFE"/>
    <w:rsid w:val="004C7599"/>
    <w:rsid w:val="004C794A"/>
    <w:rsid w:val="00576286"/>
    <w:rsid w:val="005C36B9"/>
    <w:rsid w:val="005D6EBE"/>
    <w:rsid w:val="00604339"/>
    <w:rsid w:val="0064040F"/>
    <w:rsid w:val="00646318"/>
    <w:rsid w:val="0066289B"/>
    <w:rsid w:val="006808A3"/>
    <w:rsid w:val="006B0031"/>
    <w:rsid w:val="006F5D15"/>
    <w:rsid w:val="00742F69"/>
    <w:rsid w:val="00781D86"/>
    <w:rsid w:val="007A6A3F"/>
    <w:rsid w:val="007B5B27"/>
    <w:rsid w:val="007D73AF"/>
    <w:rsid w:val="007E6462"/>
    <w:rsid w:val="007F1D10"/>
    <w:rsid w:val="00810205"/>
    <w:rsid w:val="00833099"/>
    <w:rsid w:val="0085077F"/>
    <w:rsid w:val="00892E7F"/>
    <w:rsid w:val="008D391F"/>
    <w:rsid w:val="00913B49"/>
    <w:rsid w:val="0092750F"/>
    <w:rsid w:val="0094746F"/>
    <w:rsid w:val="00960491"/>
    <w:rsid w:val="00967E78"/>
    <w:rsid w:val="009809F0"/>
    <w:rsid w:val="009A1E11"/>
    <w:rsid w:val="00A11B24"/>
    <w:rsid w:val="00A23D13"/>
    <w:rsid w:val="00A26200"/>
    <w:rsid w:val="00A51E73"/>
    <w:rsid w:val="00A60F80"/>
    <w:rsid w:val="00A76856"/>
    <w:rsid w:val="00A77C34"/>
    <w:rsid w:val="00A8486A"/>
    <w:rsid w:val="00A911BC"/>
    <w:rsid w:val="00A93E9D"/>
    <w:rsid w:val="00AB467F"/>
    <w:rsid w:val="00AF3C88"/>
    <w:rsid w:val="00B34BDE"/>
    <w:rsid w:val="00B96EA3"/>
    <w:rsid w:val="00BC5D6E"/>
    <w:rsid w:val="00BC66CB"/>
    <w:rsid w:val="00C25F0F"/>
    <w:rsid w:val="00CD444C"/>
    <w:rsid w:val="00D078C0"/>
    <w:rsid w:val="00D10B0C"/>
    <w:rsid w:val="00D1696D"/>
    <w:rsid w:val="00DB792D"/>
    <w:rsid w:val="00DC5275"/>
    <w:rsid w:val="00E47BFA"/>
    <w:rsid w:val="00E86CF2"/>
    <w:rsid w:val="00EB5894"/>
    <w:rsid w:val="00EB7497"/>
    <w:rsid w:val="00EB7A6A"/>
    <w:rsid w:val="00F11D7E"/>
    <w:rsid w:val="00F24B18"/>
    <w:rsid w:val="00FA2DA3"/>
    <w:rsid w:val="00FC14B9"/>
    <w:rsid w:val="00FD49C9"/>
    <w:rsid w:val="00FD6F1B"/>
    <w:rsid w:val="00FF12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C34"/>
    <w:pPr>
      <w:spacing w:after="0" w:line="240" w:lineRule="auto"/>
    </w:pPr>
    <w:rPr>
      <w:rFonts w:ascii="Times New Roman" w:eastAsia="Times New Roman" w:hAnsi="Times New Roman" w:cs="Times New Roman"/>
      <w:sz w:val="16"/>
      <w:szCs w:val="1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A77DF"/>
    <w:rPr>
      <w:color w:val="0000FF" w:themeColor="hyperlink"/>
      <w:u w:val="single"/>
    </w:rPr>
  </w:style>
  <w:style w:type="character" w:styleId="a4">
    <w:name w:val="FollowedHyperlink"/>
    <w:basedOn w:val="a0"/>
    <w:uiPriority w:val="99"/>
    <w:semiHidden/>
    <w:unhideWhenUsed/>
    <w:rsid w:val="0094746F"/>
    <w:rPr>
      <w:color w:val="800080" w:themeColor="followedHyperlink"/>
      <w:u w:val="single"/>
    </w:rPr>
  </w:style>
  <w:style w:type="character" w:styleId="a5">
    <w:name w:val="Strong"/>
    <w:basedOn w:val="a0"/>
    <w:uiPriority w:val="22"/>
    <w:qFormat/>
    <w:rsid w:val="000B7D11"/>
    <w:rPr>
      <w:b/>
      <w:bCs/>
    </w:rPr>
  </w:style>
  <w:style w:type="paragraph" w:styleId="a6">
    <w:name w:val="footer"/>
    <w:basedOn w:val="a"/>
    <w:link w:val="a7"/>
    <w:rsid w:val="00C25F0F"/>
    <w:pPr>
      <w:tabs>
        <w:tab w:val="center" w:pos="4677"/>
        <w:tab w:val="right" w:pos="9355"/>
      </w:tabs>
    </w:pPr>
  </w:style>
  <w:style w:type="character" w:customStyle="1" w:styleId="a7">
    <w:name w:val="Нижний колонтитул Знак"/>
    <w:basedOn w:val="a0"/>
    <w:link w:val="a6"/>
    <w:rsid w:val="00C25F0F"/>
    <w:rPr>
      <w:rFonts w:ascii="Times New Roman" w:eastAsia="Times New Roman" w:hAnsi="Times New Roman" w:cs="Times New Roman"/>
      <w:sz w:val="16"/>
      <w:szCs w:val="16"/>
      <w:lang w:eastAsia="ru-RU"/>
    </w:rPr>
  </w:style>
  <w:style w:type="character" w:styleId="a8">
    <w:name w:val="page number"/>
    <w:basedOn w:val="a0"/>
    <w:rsid w:val="00C25F0F"/>
  </w:style>
  <w:style w:type="paragraph" w:styleId="a9">
    <w:name w:val="header"/>
    <w:basedOn w:val="a"/>
    <w:link w:val="aa"/>
    <w:uiPriority w:val="99"/>
    <w:rsid w:val="00C25F0F"/>
    <w:pPr>
      <w:tabs>
        <w:tab w:val="center" w:pos="4677"/>
        <w:tab w:val="right" w:pos="9355"/>
      </w:tabs>
    </w:pPr>
  </w:style>
  <w:style w:type="character" w:customStyle="1" w:styleId="aa">
    <w:name w:val="Верхний колонтитул Знак"/>
    <w:basedOn w:val="a0"/>
    <w:link w:val="a9"/>
    <w:uiPriority w:val="99"/>
    <w:rsid w:val="00C25F0F"/>
    <w:rPr>
      <w:rFonts w:ascii="Times New Roman" w:eastAsia="Times New Roman" w:hAnsi="Times New Roman" w:cs="Times New Roman"/>
      <w:sz w:val="16"/>
      <w:szCs w:val="16"/>
      <w:lang w:eastAsia="ru-RU"/>
    </w:rPr>
  </w:style>
  <w:style w:type="paragraph" w:customStyle="1" w:styleId="ConsPlusNonformat">
    <w:name w:val="ConsPlusNonformat"/>
    <w:uiPriority w:val="99"/>
    <w:rsid w:val="00A77C34"/>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customStyle="1" w:styleId="ConsPlusNormal">
    <w:name w:val="ConsPlusNormal"/>
    <w:qFormat/>
    <w:rsid w:val="00A77C34"/>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styleId="ab">
    <w:name w:val="List Paragraph"/>
    <w:basedOn w:val="a"/>
    <w:uiPriority w:val="34"/>
    <w:qFormat/>
    <w:rsid w:val="00FD49C9"/>
    <w:pPr>
      <w:ind w:left="720"/>
      <w:contextualSpacing/>
    </w:pPr>
  </w:style>
  <w:style w:type="paragraph" w:styleId="ac">
    <w:name w:val="Balloon Text"/>
    <w:basedOn w:val="a"/>
    <w:link w:val="ad"/>
    <w:uiPriority w:val="99"/>
    <w:semiHidden/>
    <w:unhideWhenUsed/>
    <w:rsid w:val="002E2A3E"/>
    <w:rPr>
      <w:rFonts w:ascii="Tahoma" w:hAnsi="Tahoma" w:cs="Tahoma"/>
    </w:rPr>
  </w:style>
  <w:style w:type="character" w:customStyle="1" w:styleId="ad">
    <w:name w:val="Текст выноски Знак"/>
    <w:basedOn w:val="a0"/>
    <w:link w:val="ac"/>
    <w:uiPriority w:val="99"/>
    <w:semiHidden/>
    <w:rsid w:val="002E2A3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C34"/>
    <w:pPr>
      <w:spacing w:after="0" w:line="240" w:lineRule="auto"/>
    </w:pPr>
    <w:rPr>
      <w:rFonts w:ascii="Times New Roman" w:eastAsia="Times New Roman" w:hAnsi="Times New Roman" w:cs="Times New Roman"/>
      <w:sz w:val="16"/>
      <w:szCs w:val="1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A77DF"/>
    <w:rPr>
      <w:color w:val="0000FF" w:themeColor="hyperlink"/>
      <w:u w:val="single"/>
    </w:rPr>
  </w:style>
  <w:style w:type="character" w:styleId="a4">
    <w:name w:val="FollowedHyperlink"/>
    <w:basedOn w:val="a0"/>
    <w:uiPriority w:val="99"/>
    <w:semiHidden/>
    <w:unhideWhenUsed/>
    <w:rsid w:val="0094746F"/>
    <w:rPr>
      <w:color w:val="800080" w:themeColor="followedHyperlink"/>
      <w:u w:val="single"/>
    </w:rPr>
  </w:style>
  <w:style w:type="character" w:styleId="a5">
    <w:name w:val="Strong"/>
    <w:basedOn w:val="a0"/>
    <w:uiPriority w:val="22"/>
    <w:qFormat/>
    <w:rsid w:val="000B7D11"/>
    <w:rPr>
      <w:b/>
      <w:bCs/>
    </w:rPr>
  </w:style>
  <w:style w:type="paragraph" w:styleId="a6">
    <w:name w:val="footer"/>
    <w:basedOn w:val="a"/>
    <w:link w:val="a7"/>
    <w:rsid w:val="00C25F0F"/>
    <w:pPr>
      <w:tabs>
        <w:tab w:val="center" w:pos="4677"/>
        <w:tab w:val="right" w:pos="9355"/>
      </w:tabs>
    </w:pPr>
  </w:style>
  <w:style w:type="character" w:customStyle="1" w:styleId="a7">
    <w:name w:val="Нижний колонтитул Знак"/>
    <w:basedOn w:val="a0"/>
    <w:link w:val="a6"/>
    <w:rsid w:val="00C25F0F"/>
    <w:rPr>
      <w:rFonts w:ascii="Times New Roman" w:eastAsia="Times New Roman" w:hAnsi="Times New Roman" w:cs="Times New Roman"/>
      <w:sz w:val="16"/>
      <w:szCs w:val="16"/>
      <w:lang w:eastAsia="ru-RU"/>
    </w:rPr>
  </w:style>
  <w:style w:type="character" w:styleId="a8">
    <w:name w:val="page number"/>
    <w:basedOn w:val="a0"/>
    <w:rsid w:val="00C25F0F"/>
  </w:style>
  <w:style w:type="paragraph" w:styleId="a9">
    <w:name w:val="header"/>
    <w:basedOn w:val="a"/>
    <w:link w:val="aa"/>
    <w:uiPriority w:val="99"/>
    <w:rsid w:val="00C25F0F"/>
    <w:pPr>
      <w:tabs>
        <w:tab w:val="center" w:pos="4677"/>
        <w:tab w:val="right" w:pos="9355"/>
      </w:tabs>
    </w:pPr>
  </w:style>
  <w:style w:type="character" w:customStyle="1" w:styleId="aa">
    <w:name w:val="Верхний колонтитул Знак"/>
    <w:basedOn w:val="a0"/>
    <w:link w:val="a9"/>
    <w:uiPriority w:val="99"/>
    <w:rsid w:val="00C25F0F"/>
    <w:rPr>
      <w:rFonts w:ascii="Times New Roman" w:eastAsia="Times New Roman" w:hAnsi="Times New Roman" w:cs="Times New Roman"/>
      <w:sz w:val="16"/>
      <w:szCs w:val="16"/>
      <w:lang w:eastAsia="ru-RU"/>
    </w:rPr>
  </w:style>
  <w:style w:type="paragraph" w:customStyle="1" w:styleId="ConsPlusNonformat">
    <w:name w:val="ConsPlusNonformat"/>
    <w:uiPriority w:val="99"/>
    <w:rsid w:val="00A77C34"/>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customStyle="1" w:styleId="ConsPlusNormal">
    <w:name w:val="ConsPlusNormal"/>
    <w:qFormat/>
    <w:rsid w:val="00A77C34"/>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22461">
      <w:bodyDiv w:val="1"/>
      <w:marLeft w:val="0"/>
      <w:marRight w:val="0"/>
      <w:marTop w:val="0"/>
      <w:marBottom w:val="0"/>
      <w:divBdr>
        <w:top w:val="none" w:sz="0" w:space="0" w:color="auto"/>
        <w:left w:val="none" w:sz="0" w:space="0" w:color="auto"/>
        <w:bottom w:val="none" w:sz="0" w:space="0" w:color="auto"/>
        <w:right w:val="none" w:sz="0" w:space="0" w:color="auto"/>
      </w:divBdr>
    </w:div>
    <w:div w:id="157959595">
      <w:bodyDiv w:val="1"/>
      <w:marLeft w:val="0"/>
      <w:marRight w:val="0"/>
      <w:marTop w:val="0"/>
      <w:marBottom w:val="0"/>
      <w:divBdr>
        <w:top w:val="none" w:sz="0" w:space="0" w:color="auto"/>
        <w:left w:val="none" w:sz="0" w:space="0" w:color="auto"/>
        <w:bottom w:val="none" w:sz="0" w:space="0" w:color="auto"/>
        <w:right w:val="none" w:sz="0" w:space="0" w:color="auto"/>
      </w:divBdr>
    </w:div>
    <w:div w:id="299921637">
      <w:bodyDiv w:val="1"/>
      <w:marLeft w:val="0"/>
      <w:marRight w:val="0"/>
      <w:marTop w:val="0"/>
      <w:marBottom w:val="0"/>
      <w:divBdr>
        <w:top w:val="none" w:sz="0" w:space="0" w:color="auto"/>
        <w:left w:val="none" w:sz="0" w:space="0" w:color="auto"/>
        <w:bottom w:val="none" w:sz="0" w:space="0" w:color="auto"/>
        <w:right w:val="none" w:sz="0" w:space="0" w:color="auto"/>
      </w:divBdr>
    </w:div>
    <w:div w:id="332996858">
      <w:bodyDiv w:val="1"/>
      <w:marLeft w:val="0"/>
      <w:marRight w:val="0"/>
      <w:marTop w:val="0"/>
      <w:marBottom w:val="0"/>
      <w:divBdr>
        <w:top w:val="none" w:sz="0" w:space="0" w:color="auto"/>
        <w:left w:val="none" w:sz="0" w:space="0" w:color="auto"/>
        <w:bottom w:val="none" w:sz="0" w:space="0" w:color="auto"/>
        <w:right w:val="none" w:sz="0" w:space="0" w:color="auto"/>
      </w:divBdr>
    </w:div>
    <w:div w:id="354233715">
      <w:bodyDiv w:val="1"/>
      <w:marLeft w:val="0"/>
      <w:marRight w:val="0"/>
      <w:marTop w:val="0"/>
      <w:marBottom w:val="0"/>
      <w:divBdr>
        <w:top w:val="none" w:sz="0" w:space="0" w:color="auto"/>
        <w:left w:val="none" w:sz="0" w:space="0" w:color="auto"/>
        <w:bottom w:val="none" w:sz="0" w:space="0" w:color="auto"/>
        <w:right w:val="none" w:sz="0" w:space="0" w:color="auto"/>
      </w:divBdr>
    </w:div>
    <w:div w:id="377316944">
      <w:bodyDiv w:val="1"/>
      <w:marLeft w:val="0"/>
      <w:marRight w:val="0"/>
      <w:marTop w:val="0"/>
      <w:marBottom w:val="0"/>
      <w:divBdr>
        <w:top w:val="none" w:sz="0" w:space="0" w:color="auto"/>
        <w:left w:val="none" w:sz="0" w:space="0" w:color="auto"/>
        <w:bottom w:val="none" w:sz="0" w:space="0" w:color="auto"/>
        <w:right w:val="none" w:sz="0" w:space="0" w:color="auto"/>
      </w:divBdr>
    </w:div>
    <w:div w:id="424227141">
      <w:bodyDiv w:val="1"/>
      <w:marLeft w:val="0"/>
      <w:marRight w:val="0"/>
      <w:marTop w:val="0"/>
      <w:marBottom w:val="0"/>
      <w:divBdr>
        <w:top w:val="none" w:sz="0" w:space="0" w:color="auto"/>
        <w:left w:val="none" w:sz="0" w:space="0" w:color="auto"/>
        <w:bottom w:val="none" w:sz="0" w:space="0" w:color="auto"/>
        <w:right w:val="none" w:sz="0" w:space="0" w:color="auto"/>
      </w:divBdr>
    </w:div>
    <w:div w:id="468405959">
      <w:bodyDiv w:val="1"/>
      <w:marLeft w:val="0"/>
      <w:marRight w:val="0"/>
      <w:marTop w:val="0"/>
      <w:marBottom w:val="0"/>
      <w:divBdr>
        <w:top w:val="none" w:sz="0" w:space="0" w:color="auto"/>
        <w:left w:val="none" w:sz="0" w:space="0" w:color="auto"/>
        <w:bottom w:val="none" w:sz="0" w:space="0" w:color="auto"/>
        <w:right w:val="none" w:sz="0" w:space="0" w:color="auto"/>
      </w:divBdr>
    </w:div>
    <w:div w:id="710764096">
      <w:bodyDiv w:val="1"/>
      <w:marLeft w:val="0"/>
      <w:marRight w:val="0"/>
      <w:marTop w:val="0"/>
      <w:marBottom w:val="0"/>
      <w:divBdr>
        <w:top w:val="none" w:sz="0" w:space="0" w:color="auto"/>
        <w:left w:val="none" w:sz="0" w:space="0" w:color="auto"/>
        <w:bottom w:val="none" w:sz="0" w:space="0" w:color="auto"/>
        <w:right w:val="none" w:sz="0" w:space="0" w:color="auto"/>
      </w:divBdr>
    </w:div>
    <w:div w:id="929386801">
      <w:bodyDiv w:val="1"/>
      <w:marLeft w:val="0"/>
      <w:marRight w:val="0"/>
      <w:marTop w:val="0"/>
      <w:marBottom w:val="0"/>
      <w:divBdr>
        <w:top w:val="none" w:sz="0" w:space="0" w:color="auto"/>
        <w:left w:val="none" w:sz="0" w:space="0" w:color="auto"/>
        <w:bottom w:val="none" w:sz="0" w:space="0" w:color="auto"/>
        <w:right w:val="none" w:sz="0" w:space="0" w:color="auto"/>
      </w:divBdr>
    </w:div>
    <w:div w:id="1067804269">
      <w:bodyDiv w:val="1"/>
      <w:marLeft w:val="0"/>
      <w:marRight w:val="0"/>
      <w:marTop w:val="0"/>
      <w:marBottom w:val="0"/>
      <w:divBdr>
        <w:top w:val="none" w:sz="0" w:space="0" w:color="auto"/>
        <w:left w:val="none" w:sz="0" w:space="0" w:color="auto"/>
        <w:bottom w:val="none" w:sz="0" w:space="0" w:color="auto"/>
        <w:right w:val="none" w:sz="0" w:space="0" w:color="auto"/>
      </w:divBdr>
    </w:div>
    <w:div w:id="1244802102">
      <w:bodyDiv w:val="1"/>
      <w:marLeft w:val="0"/>
      <w:marRight w:val="0"/>
      <w:marTop w:val="0"/>
      <w:marBottom w:val="0"/>
      <w:divBdr>
        <w:top w:val="none" w:sz="0" w:space="0" w:color="auto"/>
        <w:left w:val="none" w:sz="0" w:space="0" w:color="auto"/>
        <w:bottom w:val="none" w:sz="0" w:space="0" w:color="auto"/>
        <w:right w:val="none" w:sz="0" w:space="0" w:color="auto"/>
      </w:divBdr>
    </w:div>
    <w:div w:id="1332371252">
      <w:bodyDiv w:val="1"/>
      <w:marLeft w:val="0"/>
      <w:marRight w:val="0"/>
      <w:marTop w:val="0"/>
      <w:marBottom w:val="0"/>
      <w:divBdr>
        <w:top w:val="none" w:sz="0" w:space="0" w:color="auto"/>
        <w:left w:val="none" w:sz="0" w:space="0" w:color="auto"/>
        <w:bottom w:val="none" w:sz="0" w:space="0" w:color="auto"/>
        <w:right w:val="none" w:sz="0" w:space="0" w:color="auto"/>
      </w:divBdr>
    </w:div>
    <w:div w:id="1504738519">
      <w:bodyDiv w:val="1"/>
      <w:marLeft w:val="0"/>
      <w:marRight w:val="0"/>
      <w:marTop w:val="0"/>
      <w:marBottom w:val="0"/>
      <w:divBdr>
        <w:top w:val="none" w:sz="0" w:space="0" w:color="auto"/>
        <w:left w:val="none" w:sz="0" w:space="0" w:color="auto"/>
        <w:bottom w:val="none" w:sz="0" w:space="0" w:color="auto"/>
        <w:right w:val="none" w:sz="0" w:space="0" w:color="auto"/>
      </w:divBdr>
    </w:div>
    <w:div w:id="1543401326">
      <w:bodyDiv w:val="1"/>
      <w:marLeft w:val="0"/>
      <w:marRight w:val="0"/>
      <w:marTop w:val="0"/>
      <w:marBottom w:val="0"/>
      <w:divBdr>
        <w:top w:val="none" w:sz="0" w:space="0" w:color="auto"/>
        <w:left w:val="none" w:sz="0" w:space="0" w:color="auto"/>
        <w:bottom w:val="none" w:sz="0" w:space="0" w:color="auto"/>
        <w:right w:val="none" w:sz="0" w:space="0" w:color="auto"/>
      </w:divBdr>
    </w:div>
    <w:div w:id="1610432575">
      <w:bodyDiv w:val="1"/>
      <w:marLeft w:val="0"/>
      <w:marRight w:val="0"/>
      <w:marTop w:val="0"/>
      <w:marBottom w:val="0"/>
      <w:divBdr>
        <w:top w:val="none" w:sz="0" w:space="0" w:color="auto"/>
        <w:left w:val="none" w:sz="0" w:space="0" w:color="auto"/>
        <w:bottom w:val="none" w:sz="0" w:space="0" w:color="auto"/>
        <w:right w:val="none" w:sz="0" w:space="0" w:color="auto"/>
      </w:divBdr>
    </w:div>
    <w:div w:id="1764180806">
      <w:bodyDiv w:val="1"/>
      <w:marLeft w:val="0"/>
      <w:marRight w:val="0"/>
      <w:marTop w:val="0"/>
      <w:marBottom w:val="0"/>
      <w:divBdr>
        <w:top w:val="none" w:sz="0" w:space="0" w:color="auto"/>
        <w:left w:val="none" w:sz="0" w:space="0" w:color="auto"/>
        <w:bottom w:val="none" w:sz="0" w:space="0" w:color="auto"/>
        <w:right w:val="none" w:sz="0" w:space="0" w:color="auto"/>
      </w:divBdr>
    </w:div>
    <w:div w:id="1770155861">
      <w:bodyDiv w:val="1"/>
      <w:marLeft w:val="0"/>
      <w:marRight w:val="0"/>
      <w:marTop w:val="0"/>
      <w:marBottom w:val="0"/>
      <w:divBdr>
        <w:top w:val="none" w:sz="0" w:space="0" w:color="auto"/>
        <w:left w:val="none" w:sz="0" w:space="0" w:color="auto"/>
        <w:bottom w:val="none" w:sz="0" w:space="0" w:color="auto"/>
        <w:right w:val="none" w:sz="0" w:space="0" w:color="auto"/>
      </w:divBdr>
    </w:div>
    <w:div w:id="1936597359">
      <w:bodyDiv w:val="1"/>
      <w:marLeft w:val="0"/>
      <w:marRight w:val="0"/>
      <w:marTop w:val="0"/>
      <w:marBottom w:val="0"/>
      <w:divBdr>
        <w:top w:val="none" w:sz="0" w:space="0" w:color="auto"/>
        <w:left w:val="none" w:sz="0" w:space="0" w:color="auto"/>
        <w:bottom w:val="none" w:sz="0" w:space="0" w:color="auto"/>
        <w:right w:val="none" w:sz="0" w:space="0" w:color="auto"/>
      </w:divBdr>
    </w:div>
    <w:div w:id="2018921416">
      <w:bodyDiv w:val="1"/>
      <w:marLeft w:val="0"/>
      <w:marRight w:val="0"/>
      <w:marTop w:val="0"/>
      <w:marBottom w:val="0"/>
      <w:divBdr>
        <w:top w:val="none" w:sz="0" w:space="0" w:color="auto"/>
        <w:left w:val="none" w:sz="0" w:space="0" w:color="auto"/>
        <w:bottom w:val="none" w:sz="0" w:space="0" w:color="auto"/>
        <w:right w:val="none" w:sz="0" w:space="0" w:color="auto"/>
      </w:divBdr>
    </w:div>
    <w:div w:id="203136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2D26E-802D-4883-9409-E05EDB71E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4</Pages>
  <Words>1025</Words>
  <Characters>5847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Yana</dc:creator>
  <cp:lastModifiedBy>Yana</cp:lastModifiedBy>
  <cp:revision>42</cp:revision>
  <cp:lastPrinted>2023-04-27T10:32:00Z</cp:lastPrinted>
  <dcterms:created xsi:type="dcterms:W3CDTF">2022-04-20T03:56:00Z</dcterms:created>
  <dcterms:modified xsi:type="dcterms:W3CDTF">2023-05-05T04:28:00Z</dcterms:modified>
</cp:coreProperties>
</file>